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97D40" w14:textId="333B1980" w:rsidR="006515CC" w:rsidRPr="007C2EB1" w:rsidRDefault="006515CC" w:rsidP="00D82366">
      <w:pPr>
        <w:pStyle w:val="Header"/>
        <w:jc w:val="both"/>
        <w:rPr>
          <w:bCs/>
          <w:sz w:val="24"/>
        </w:rPr>
      </w:pPr>
      <w:r w:rsidRPr="007C2EB1">
        <w:rPr>
          <w:bCs/>
          <w:sz w:val="24"/>
        </w:rPr>
        <w:t>3GPP TSG RAN WG1 #97</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Pr="007C2EB1">
        <w:rPr>
          <w:rFonts w:cs="Arial"/>
          <w:b w:val="0"/>
          <w:bCs/>
          <w:sz w:val="28"/>
        </w:rPr>
        <w:tab/>
      </w:r>
      <w:r w:rsidR="00BF0B61">
        <w:rPr>
          <w:sz w:val="24"/>
        </w:rPr>
        <w:t>R1-1907366</w:t>
      </w:r>
    </w:p>
    <w:p w14:paraId="392E4BFA" w14:textId="635DAAED" w:rsidR="00DE6959" w:rsidRPr="00DE6959" w:rsidRDefault="006515CC" w:rsidP="006515CC">
      <w:pPr>
        <w:pStyle w:val="Header"/>
        <w:tabs>
          <w:tab w:val="right" w:pos="9639"/>
        </w:tabs>
        <w:rPr>
          <w:bCs/>
          <w:sz w:val="24"/>
        </w:rPr>
      </w:pPr>
      <w:r w:rsidRPr="007C2EB1">
        <w:rPr>
          <w:bCs/>
          <w:sz w:val="24"/>
        </w:rPr>
        <w:t>Reno, USA, May 13th – 17th, 2019</w:t>
      </w:r>
    </w:p>
    <w:p w14:paraId="68F99E68" w14:textId="61112BC4" w:rsidR="008D65CD" w:rsidRPr="008D65CD" w:rsidRDefault="008D65CD" w:rsidP="008D65CD">
      <w:pPr>
        <w:pStyle w:val="Header"/>
        <w:tabs>
          <w:tab w:val="right" w:pos="9639"/>
        </w:tabs>
        <w:rPr>
          <w:noProof w:val="0"/>
          <w:sz w:val="24"/>
        </w:rPr>
      </w:pPr>
    </w:p>
    <w:p w14:paraId="3587D698" w14:textId="77777777" w:rsidR="002E2FAF" w:rsidRPr="008D65CD" w:rsidRDefault="002E2FAF">
      <w:pPr>
        <w:pStyle w:val="RecCCITT"/>
        <w:keepNext w:val="0"/>
        <w:keepLines w:val="0"/>
        <w:rPr>
          <w:rFonts w:ascii="Arial" w:hAnsi="Arial"/>
        </w:rPr>
      </w:pPr>
    </w:p>
    <w:p w14:paraId="37406893"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3CF8A3B2" w14:textId="302F6AD1"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F65D84" w:rsidRPr="00F65D84">
        <w:rPr>
          <w:rFonts w:ascii="Arial" w:hAnsi="Arial"/>
          <w:sz w:val="24"/>
        </w:rPr>
        <w:t>Discussion on</w:t>
      </w:r>
      <w:r w:rsidR="00B62A6A">
        <w:rPr>
          <w:rFonts w:ascii="Arial" w:hAnsi="Arial"/>
          <w:sz w:val="24"/>
        </w:rPr>
        <w:tab/>
        <w:t>p</w:t>
      </w:r>
      <w:r w:rsidR="00B62A6A" w:rsidRPr="00B62A6A">
        <w:rPr>
          <w:rFonts w:ascii="Arial" w:hAnsi="Arial"/>
          <w:sz w:val="24"/>
        </w:rPr>
        <w:t>rocedure of cross-slot scheduling power saving techniques</w:t>
      </w:r>
    </w:p>
    <w:p w14:paraId="29ACCAC4" w14:textId="08F6967F" w:rsidR="002E2FAF" w:rsidRPr="003B6B65" w:rsidRDefault="002E2FAF" w:rsidP="00B02CB3">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C950FC">
        <w:rPr>
          <w:rFonts w:ascii="Arial" w:hAnsi="Arial"/>
          <w:sz w:val="24"/>
        </w:rPr>
        <w:t>7.2.9.2</w:t>
      </w:r>
    </w:p>
    <w:p w14:paraId="64EB98A4" w14:textId="77777777" w:rsidR="002E2FAF" w:rsidRDefault="002E2FAF" w:rsidP="00B02CB3">
      <w:pPr>
        <w:tabs>
          <w:tab w:val="left" w:pos="2127"/>
        </w:tabs>
        <w:spacing w:before="120" w:after="0"/>
        <w:rPr>
          <w:rFonts w:ascii="Arial" w:hAnsi="Arial"/>
          <w:sz w:val="24"/>
        </w:rPr>
      </w:pPr>
      <w:r>
        <w:rPr>
          <w:rFonts w:ascii="Arial" w:hAnsi="Arial"/>
          <w:b/>
          <w:sz w:val="24"/>
        </w:rPr>
        <w:t>Document for:</w:t>
      </w:r>
      <w:r w:rsidR="000B5FCF">
        <w:rPr>
          <w:rFonts w:ascii="Arial" w:hAnsi="Arial"/>
          <w:sz w:val="24"/>
        </w:rPr>
        <w:tab/>
        <w:t>Discussion</w:t>
      </w:r>
    </w:p>
    <w:p w14:paraId="3D4BCACF" w14:textId="77777777" w:rsidR="002E2FAF" w:rsidRDefault="002E2FAF">
      <w:pPr>
        <w:pStyle w:val="Heading1"/>
      </w:pPr>
      <w:r>
        <w:t>Introduction</w:t>
      </w:r>
    </w:p>
    <w:p w14:paraId="5F819900" w14:textId="6D727004" w:rsidR="00DD639E" w:rsidRDefault="00DD639E" w:rsidP="00F625DF">
      <w:pPr>
        <w:rPr>
          <w:rFonts w:cs="Arial"/>
          <w:lang w:val="en-US"/>
        </w:rPr>
      </w:pPr>
    </w:p>
    <w:p w14:paraId="37A01A6D" w14:textId="7B36BCE7" w:rsidR="00D40474" w:rsidRDefault="00E31AD1" w:rsidP="00F625DF">
      <w:pPr>
        <w:rPr>
          <w:rFonts w:cs="Arial"/>
          <w:lang w:val="en-US"/>
        </w:rPr>
      </w:pPr>
      <w:r>
        <w:rPr>
          <w:rFonts w:cs="Arial"/>
          <w:lang w:val="en-US"/>
        </w:rPr>
        <w:t xml:space="preserve">In the RAN #83 meeting, the new work item </w:t>
      </w:r>
      <w:r w:rsidR="0030498C">
        <w:rPr>
          <w:rFonts w:cs="Arial"/>
          <w:lang w:val="en-US"/>
        </w:rPr>
        <w:t xml:space="preserve">of UE power saving in NR </w:t>
      </w:r>
      <w:r>
        <w:rPr>
          <w:rFonts w:cs="Arial"/>
          <w:lang w:val="en-US"/>
        </w:rPr>
        <w:t xml:space="preserve">was approved </w:t>
      </w:r>
      <w:r w:rsidR="00B6268E">
        <w:rPr>
          <w:rFonts w:cs="Arial"/>
          <w:lang w:val="en-US"/>
        </w:rPr>
        <w:t>[1]</w:t>
      </w:r>
      <w:r w:rsidR="009F13FB">
        <w:rPr>
          <w:rFonts w:cs="Arial"/>
          <w:lang w:val="en-US"/>
        </w:rPr>
        <w:t xml:space="preserve">. </w:t>
      </w:r>
      <w:r w:rsidR="00C24683">
        <w:rPr>
          <w:rFonts w:cs="Arial"/>
          <w:lang w:val="en-US"/>
        </w:rPr>
        <w:t>The agreements</w:t>
      </w:r>
      <w:r w:rsidR="009F13FB">
        <w:rPr>
          <w:rFonts w:cs="Arial"/>
          <w:lang w:val="en-US"/>
        </w:rPr>
        <w:t xml:space="preserve"> achieved regarding cross-slot scheduling</w:t>
      </w:r>
      <w:r w:rsidR="00C24683">
        <w:rPr>
          <w:rFonts w:cs="Arial"/>
          <w:lang w:val="en-US"/>
        </w:rPr>
        <w:t xml:space="preserve"> in the RAN1#96bis are listed in the appendix [2].</w:t>
      </w:r>
    </w:p>
    <w:p w14:paraId="6324EE6E" w14:textId="6B8C4C19" w:rsidR="00DD639E" w:rsidRDefault="006A2B4F" w:rsidP="00F625DF">
      <w:pPr>
        <w:rPr>
          <w:rFonts w:cs="Arial"/>
        </w:rPr>
      </w:pPr>
      <w:r w:rsidRPr="00A06938">
        <w:rPr>
          <w:rFonts w:cs="Arial"/>
        </w:rPr>
        <w:t xml:space="preserve">This contribution provides our </w:t>
      </w:r>
      <w:r w:rsidR="004F3137">
        <w:rPr>
          <w:rFonts w:cs="Arial"/>
        </w:rPr>
        <w:t>views</w:t>
      </w:r>
      <w:r w:rsidR="004F3137">
        <w:rPr>
          <w:rFonts w:cs="Arial"/>
          <w:lang w:val="en-US"/>
        </w:rPr>
        <w:t xml:space="preserve"> on procedures</w:t>
      </w:r>
      <w:r w:rsidR="006C6E55">
        <w:rPr>
          <w:rFonts w:cs="Arial"/>
        </w:rPr>
        <w:t xml:space="preserve"> of cross-slot scheduling power saving techniques</w:t>
      </w:r>
      <w:r w:rsidR="00E84C45">
        <w:rPr>
          <w:rFonts w:cs="Arial"/>
        </w:rPr>
        <w:t>.</w:t>
      </w:r>
      <w:r w:rsidR="001A746F">
        <w:rPr>
          <w:rFonts w:cs="Arial"/>
        </w:rPr>
        <w:t xml:space="preserve"> The contents are updated from </w:t>
      </w:r>
      <w:r w:rsidR="0030632C" w:rsidRPr="0030632C">
        <w:rPr>
          <w:rFonts w:cs="Arial"/>
        </w:rPr>
        <w:t>R1-1905186</w:t>
      </w:r>
      <w:r w:rsidR="005A1905">
        <w:rPr>
          <w:rFonts w:cs="Arial"/>
        </w:rPr>
        <w:t>.</w:t>
      </w:r>
    </w:p>
    <w:p w14:paraId="547165E1" w14:textId="77777777" w:rsidR="00325D8C" w:rsidRDefault="00325D8C" w:rsidP="00F625DF">
      <w:pPr>
        <w:rPr>
          <w:rFonts w:cs="Arial"/>
        </w:rPr>
      </w:pPr>
    </w:p>
    <w:p w14:paraId="6AD463DE" w14:textId="77777777" w:rsidR="002E2FAF" w:rsidRDefault="00CB24EA">
      <w:pPr>
        <w:pStyle w:val="Heading1"/>
        <w:rPr>
          <w:rFonts w:cs="Arial"/>
        </w:rPr>
      </w:pPr>
      <w:r>
        <w:rPr>
          <w:rFonts w:cs="Arial"/>
        </w:rPr>
        <w:t>Discussion</w:t>
      </w:r>
    </w:p>
    <w:p w14:paraId="006223E7" w14:textId="77777777" w:rsidR="00DD639E" w:rsidRDefault="00DD639E" w:rsidP="003B6B65">
      <w:pPr>
        <w:rPr>
          <w:rFonts w:eastAsia="SimSun"/>
          <w:u w:val="single"/>
          <w:lang w:val="en-US" w:eastAsia="zh-CN"/>
        </w:rPr>
      </w:pPr>
    </w:p>
    <w:p w14:paraId="48B33574" w14:textId="2B83D3CB" w:rsidR="003B6B65" w:rsidRPr="00D7781C" w:rsidRDefault="00022CA2" w:rsidP="003B6B65">
      <w:pPr>
        <w:rPr>
          <w:rFonts w:eastAsia="SimSun"/>
          <w:b/>
          <w:u w:val="single"/>
          <w:lang w:val="en-US" w:eastAsia="zh-CN"/>
        </w:rPr>
      </w:pPr>
      <w:r w:rsidRPr="00D7781C">
        <w:rPr>
          <w:rFonts w:eastAsia="SimSun"/>
          <w:b/>
          <w:u w:val="single"/>
          <w:lang w:val="en-US" w:eastAsia="zh-CN"/>
        </w:rPr>
        <w:t xml:space="preserve">Main philosophy of power saving from cross-slot scheduling </w:t>
      </w:r>
    </w:p>
    <w:p w14:paraId="59818CA5" w14:textId="56E0408F" w:rsidR="00C8426E" w:rsidRDefault="00F065E8" w:rsidP="003B6B65">
      <w:pPr>
        <w:rPr>
          <w:rFonts w:eastAsia="SimSun"/>
          <w:lang w:val="en-US" w:eastAsia="zh-CN"/>
        </w:rPr>
      </w:pPr>
      <w:r>
        <w:rPr>
          <w:rFonts w:eastAsia="SimSun"/>
          <w:lang w:val="en-US" w:eastAsia="zh-CN"/>
        </w:rPr>
        <w:t>Cross</w:t>
      </w:r>
      <w:r w:rsidR="00E339A9">
        <w:rPr>
          <w:rFonts w:eastAsia="SimSun"/>
          <w:lang w:val="en-US" w:eastAsia="zh-CN"/>
        </w:rPr>
        <w:t>-slot scheduling</w:t>
      </w:r>
      <w:r w:rsidR="00A0353A">
        <w:rPr>
          <w:rFonts w:eastAsia="SimSun"/>
          <w:lang w:val="en-US" w:eastAsia="zh-CN"/>
        </w:rPr>
        <w:t xml:space="preserve"> </w:t>
      </w:r>
      <w:r w:rsidR="001D27A1">
        <w:rPr>
          <w:rFonts w:eastAsia="SimSun"/>
          <w:lang w:val="en-US" w:eastAsia="zh-CN"/>
        </w:rPr>
        <w:t>was evaluated and conclude</w:t>
      </w:r>
      <w:r w:rsidR="009B5CDC">
        <w:rPr>
          <w:rFonts w:eastAsia="SimSun"/>
          <w:lang w:val="en-US" w:eastAsia="zh-CN"/>
        </w:rPr>
        <w:t>d</w:t>
      </w:r>
      <w:r w:rsidR="001D27A1">
        <w:rPr>
          <w:rFonts w:eastAsia="SimSun"/>
          <w:lang w:val="en-US" w:eastAsia="zh-CN"/>
        </w:rPr>
        <w:t xml:space="preserve"> to achieve </w:t>
      </w:r>
      <w:r w:rsidR="00CA3F05">
        <w:rPr>
          <w:rFonts w:eastAsia="SimSun"/>
          <w:lang w:val="en-US" w:eastAsia="zh-CN"/>
        </w:rPr>
        <w:t>power saving</w:t>
      </w:r>
      <w:r w:rsidR="00953578">
        <w:rPr>
          <w:rFonts w:eastAsia="SimSun"/>
          <w:lang w:val="en-US" w:eastAsia="zh-CN"/>
        </w:rPr>
        <w:t xml:space="preserve"> gain in the study item phase</w:t>
      </w:r>
      <w:r w:rsidR="00F8364F">
        <w:rPr>
          <w:rFonts w:eastAsia="SimSun"/>
          <w:lang w:val="en-US" w:eastAsia="zh-CN"/>
        </w:rPr>
        <w:t xml:space="preserve">. </w:t>
      </w:r>
      <w:r w:rsidR="00C8426E">
        <w:rPr>
          <w:rFonts w:eastAsia="SimSun"/>
          <w:lang w:val="en-US" w:eastAsia="zh-CN"/>
        </w:rPr>
        <w:t xml:space="preserve">Before going to the procedure design discussion, it is beneficial to analyze the philosophy of how the gain is obtained. </w:t>
      </w:r>
    </w:p>
    <w:p w14:paraId="741991AD" w14:textId="77777777" w:rsidR="008E4B31" w:rsidRDefault="008E4B31" w:rsidP="003B6B65">
      <w:pPr>
        <w:rPr>
          <w:rFonts w:eastAsia="SimSun"/>
          <w:lang w:val="en-US" w:eastAsia="zh-CN"/>
        </w:rPr>
      </w:pPr>
    </w:p>
    <w:p w14:paraId="15ED492A" w14:textId="6F7546E9" w:rsidR="00632FC4" w:rsidRPr="00D7781C" w:rsidRDefault="00632FC4" w:rsidP="00D7781C">
      <w:pPr>
        <w:pStyle w:val="ListParagraph"/>
        <w:numPr>
          <w:ilvl w:val="0"/>
          <w:numId w:val="249"/>
        </w:numPr>
        <w:rPr>
          <w:rFonts w:eastAsia="SimSun"/>
          <w:lang w:val="en-US" w:eastAsia="zh-CN"/>
        </w:rPr>
      </w:pPr>
      <w:r w:rsidRPr="00D7781C">
        <w:rPr>
          <w:rFonts w:eastAsia="SimSun"/>
          <w:lang w:val="en-US" w:eastAsia="zh-CN"/>
        </w:rPr>
        <w:t>Traffic adaptation</w:t>
      </w:r>
    </w:p>
    <w:p w14:paraId="3534DADD" w14:textId="6DB2464D" w:rsidR="003D657F" w:rsidRPr="00D7781C" w:rsidRDefault="00D76C1E" w:rsidP="003B6B65">
      <w:pPr>
        <w:rPr>
          <w:rFonts w:eastAsia="SimSun"/>
          <w:lang w:eastAsia="zh-CN"/>
        </w:rPr>
      </w:pPr>
      <w:r>
        <w:rPr>
          <w:rFonts w:eastAsia="SimSun"/>
          <w:lang w:val="en-US" w:eastAsia="zh-CN"/>
        </w:rPr>
        <w:t xml:space="preserve">By using the gap between the control and data channel, </w:t>
      </w:r>
      <w:r w:rsidR="00F8364F">
        <w:rPr>
          <w:rFonts w:eastAsia="SimSun"/>
          <w:lang w:val="en-US" w:eastAsia="zh-CN"/>
        </w:rPr>
        <w:t>some PDCCH monitoring and PDSCH buffering efforts can be skipped</w:t>
      </w:r>
      <w:r w:rsidR="00823A50">
        <w:rPr>
          <w:rFonts w:eastAsia="SimSun"/>
          <w:lang w:val="en-US" w:eastAsia="zh-CN"/>
        </w:rPr>
        <w:t xml:space="preserve">. </w:t>
      </w:r>
      <w:r w:rsidR="00F8364F">
        <w:rPr>
          <w:rFonts w:eastAsia="SimSun"/>
          <w:lang w:val="en-US" w:eastAsia="zh-CN"/>
        </w:rPr>
        <w:t>However,</w:t>
      </w:r>
      <w:r w:rsidR="00DC2B73">
        <w:rPr>
          <w:rFonts w:eastAsia="SimSun"/>
          <w:lang w:val="en-US" w:eastAsia="zh-CN"/>
        </w:rPr>
        <w:t xml:space="preserve"> it is noted that the</w:t>
      </w:r>
      <w:r w:rsidR="00F8364F">
        <w:rPr>
          <w:rFonts w:eastAsia="SimSun"/>
          <w:lang w:val="en-US" w:eastAsia="zh-CN"/>
        </w:rPr>
        <w:t xml:space="preserve"> baseline</w:t>
      </w:r>
      <w:r w:rsidR="00DC2B73">
        <w:rPr>
          <w:rFonts w:eastAsia="SimSun"/>
          <w:lang w:val="en-US" w:eastAsia="zh-CN"/>
        </w:rPr>
        <w:t>s for comparison</w:t>
      </w:r>
      <w:r w:rsidR="00F8364F">
        <w:rPr>
          <w:rFonts w:eastAsia="SimSun"/>
          <w:lang w:val="en-US" w:eastAsia="zh-CN"/>
        </w:rPr>
        <w:t xml:space="preserve"> </w:t>
      </w:r>
      <w:r w:rsidR="00823A50">
        <w:rPr>
          <w:rFonts w:eastAsia="SimSun"/>
          <w:lang w:val="en-US" w:eastAsia="zh-CN"/>
        </w:rPr>
        <w:t>are</w:t>
      </w:r>
      <w:r w:rsidR="00F8364F">
        <w:rPr>
          <w:rFonts w:eastAsia="SimSun"/>
          <w:lang w:val="en-US" w:eastAsia="zh-CN"/>
        </w:rPr>
        <w:t xml:space="preserve"> </w:t>
      </w:r>
      <w:r w:rsidR="00DC2B73">
        <w:rPr>
          <w:rFonts w:eastAsia="SimSun"/>
          <w:lang w:val="en-US" w:eastAsia="zh-CN"/>
        </w:rPr>
        <w:t>self-slot scheduling with certain DRX configurations without appropriate traffic adaptations.</w:t>
      </w:r>
      <w:r w:rsidR="003B277E">
        <w:rPr>
          <w:rFonts w:eastAsia="SimSun"/>
          <w:lang w:val="en-US" w:eastAsia="zh-CN"/>
        </w:rPr>
        <w:t xml:space="preserve"> </w:t>
      </w:r>
      <w:r w:rsidR="00823A50">
        <w:rPr>
          <w:rFonts w:eastAsia="SimSun"/>
          <w:lang w:val="en-US" w:eastAsia="zh-CN"/>
        </w:rPr>
        <w:t>Thus</w:t>
      </w:r>
      <w:r w:rsidR="004930C0">
        <w:rPr>
          <w:rFonts w:eastAsia="SimSun"/>
          <w:lang w:val="en-US" w:eastAsia="zh-CN"/>
        </w:rPr>
        <w:t xml:space="preserve">, </w:t>
      </w:r>
      <w:r w:rsidR="004C04EC">
        <w:rPr>
          <w:rFonts w:eastAsia="SimSun"/>
          <w:lang w:val="en-US" w:eastAsia="zh-CN"/>
        </w:rPr>
        <w:t xml:space="preserve">some of the performance gain coming from potential </w:t>
      </w:r>
      <w:r w:rsidR="009508A1">
        <w:rPr>
          <w:rFonts w:eastAsia="SimSun"/>
          <w:lang w:val="en-US" w:eastAsia="zh-CN"/>
        </w:rPr>
        <w:t>micro-sleep</w:t>
      </w:r>
      <w:r w:rsidR="004C04EC">
        <w:rPr>
          <w:rFonts w:eastAsia="SimSun"/>
          <w:lang w:val="en-US" w:eastAsia="zh-CN"/>
        </w:rPr>
        <w:t xml:space="preserve"> and slower processing timeline </w:t>
      </w:r>
      <w:r w:rsidR="009508A1">
        <w:rPr>
          <w:rFonts w:eastAsia="SimSun"/>
          <w:lang w:val="en-US" w:eastAsia="zh-CN"/>
        </w:rPr>
        <w:t xml:space="preserve">is </w:t>
      </w:r>
      <w:r w:rsidR="00486645">
        <w:rPr>
          <w:rFonts w:eastAsia="SimSun"/>
          <w:lang w:val="en-US" w:eastAsia="zh-CN"/>
        </w:rPr>
        <w:t>actually</w:t>
      </w:r>
      <w:r w:rsidR="009508A1">
        <w:rPr>
          <w:rFonts w:eastAsia="SimSun"/>
          <w:lang w:val="en-US" w:eastAsia="zh-CN"/>
        </w:rPr>
        <w:t xml:space="preserve"> from</w:t>
      </w:r>
      <w:r w:rsidR="004C04EC">
        <w:rPr>
          <w:rFonts w:eastAsia="SimSun"/>
          <w:lang w:val="en-US" w:eastAsia="zh-CN"/>
        </w:rPr>
        <w:t xml:space="preserve"> traffic adaptation by introducing scheduling gaps and delay for traffic delivery.</w:t>
      </w:r>
    </w:p>
    <w:p w14:paraId="0CA30DF8" w14:textId="6003853A" w:rsidR="00E339A9" w:rsidRPr="00D7781C" w:rsidRDefault="003D657F" w:rsidP="003B6B65">
      <w:pPr>
        <w:rPr>
          <w:rFonts w:eastAsia="SimSun"/>
          <w:b/>
          <w:lang w:val="en-US" w:eastAsia="zh-CN"/>
        </w:rPr>
      </w:pPr>
      <w:r w:rsidRPr="00D7781C">
        <w:rPr>
          <w:rFonts w:eastAsia="SimSun"/>
          <w:b/>
          <w:lang w:val="en-US" w:eastAsia="zh-CN"/>
        </w:rPr>
        <w:t xml:space="preserve">Observation 1: </w:t>
      </w:r>
      <w:r w:rsidR="004C04EC" w:rsidRPr="00D7781C">
        <w:rPr>
          <w:rFonts w:eastAsia="SimSun"/>
          <w:b/>
          <w:lang w:val="en-US" w:eastAsia="zh-CN"/>
        </w:rPr>
        <w:t xml:space="preserve"> </w:t>
      </w:r>
      <w:r w:rsidR="008A7D0C" w:rsidRPr="00D7781C">
        <w:rPr>
          <w:rFonts w:eastAsia="SimSun"/>
          <w:b/>
          <w:lang w:val="en-US" w:eastAsia="zh-CN"/>
        </w:rPr>
        <w:t xml:space="preserve">Cross-slot </w:t>
      </w:r>
      <w:r w:rsidR="00EA0635" w:rsidRPr="00D7781C">
        <w:rPr>
          <w:rFonts w:eastAsia="SimSun"/>
          <w:b/>
          <w:lang w:val="en-US" w:eastAsia="zh-CN"/>
        </w:rPr>
        <w:t xml:space="preserve">scheduling </w:t>
      </w:r>
      <w:r w:rsidR="00823A50" w:rsidRPr="00D7781C">
        <w:rPr>
          <w:rFonts w:eastAsia="SimSun"/>
          <w:b/>
          <w:lang w:val="en-US" w:eastAsia="zh-CN"/>
        </w:rPr>
        <w:t xml:space="preserve">performance gain can be obtained from </w:t>
      </w:r>
      <w:r w:rsidR="00E64B8D" w:rsidRPr="00D7781C">
        <w:rPr>
          <w:rFonts w:eastAsia="SimSun"/>
          <w:b/>
          <w:lang w:val="en-US" w:eastAsia="zh-CN"/>
        </w:rPr>
        <w:t>traffic adaptation by introducing assumption that UE may go to micro-sleep during the gap between data channel and control channel.</w:t>
      </w:r>
    </w:p>
    <w:p w14:paraId="2C1472EC" w14:textId="77777777" w:rsidR="00823A50" w:rsidRPr="00D7781C" w:rsidRDefault="00823A50" w:rsidP="003B6B65">
      <w:pPr>
        <w:rPr>
          <w:rFonts w:eastAsia="SimSun"/>
          <w:lang w:eastAsia="zh-CN"/>
        </w:rPr>
      </w:pPr>
    </w:p>
    <w:p w14:paraId="7524E631" w14:textId="683C7959" w:rsidR="008E4B31" w:rsidRPr="00D7781C" w:rsidRDefault="00632FC4" w:rsidP="00D7781C">
      <w:pPr>
        <w:pStyle w:val="ListParagraph"/>
        <w:numPr>
          <w:ilvl w:val="0"/>
          <w:numId w:val="249"/>
        </w:numPr>
        <w:rPr>
          <w:rFonts w:eastAsia="SimSun"/>
          <w:lang w:val="en-US" w:eastAsia="zh-CN"/>
        </w:rPr>
      </w:pPr>
      <w:r w:rsidRPr="00D7781C">
        <w:rPr>
          <w:rFonts w:eastAsia="SimSun"/>
          <w:lang w:val="en-US" w:eastAsia="zh-CN"/>
        </w:rPr>
        <w:t>Traffic aggregation</w:t>
      </w:r>
    </w:p>
    <w:p w14:paraId="1E168C31" w14:textId="3CF0065F" w:rsidR="003B6B65" w:rsidRDefault="003B6B65" w:rsidP="003B6B65">
      <w:pPr>
        <w:rPr>
          <w:rFonts w:eastAsia="SimSun"/>
          <w:lang w:val="en-US" w:eastAsia="zh-CN"/>
        </w:rPr>
      </w:pPr>
      <w:r>
        <w:rPr>
          <w:rFonts w:eastAsia="SimSun"/>
          <w:lang w:val="en-US" w:eastAsia="zh-CN"/>
        </w:rPr>
        <w:t>Based on the current agreed power model, cross-slot scheduling power consumption for a TB is PDCCH-only * 0.7 + PDSCH-only = 70 + 280 = 350, while PDCCH + PDSCH in a slot is 300. Hence for a single scheduling, cross-slot scheduling is not an efficient way for power saving. Even though UE can go to micro-sleep after PDCCH reception, it is not a better option than utilizing self-slot scheduling and making UE sleep earlier</w:t>
      </w:r>
      <w:r w:rsidR="001956F6">
        <w:rPr>
          <w:rFonts w:eastAsia="SimSun"/>
          <w:lang w:val="en-US" w:eastAsia="zh-CN"/>
        </w:rPr>
        <w:t>, unless it is not feasible to do so.</w:t>
      </w:r>
    </w:p>
    <w:p w14:paraId="620D009A" w14:textId="68E21FD2" w:rsidR="003B6B65" w:rsidRDefault="003B6B65" w:rsidP="003B6B65">
      <w:pPr>
        <w:rPr>
          <w:rFonts w:eastAsia="SimSun"/>
          <w:lang w:val="en-US" w:eastAsia="zh-CN"/>
        </w:rPr>
      </w:pPr>
      <w:r>
        <w:rPr>
          <w:rFonts w:eastAsia="SimSun"/>
          <w:lang w:val="en-US" w:eastAsia="zh-CN"/>
        </w:rPr>
        <w:t>On the other hand, if UE is configured to monitor PDCCH anyway in a relatively longer period, cross-slot scheduling can reduce the PDCCH</w:t>
      </w:r>
      <w:r w:rsidR="001956F6">
        <w:rPr>
          <w:rFonts w:eastAsia="SimSun"/>
          <w:lang w:val="en-US" w:eastAsia="zh-CN"/>
        </w:rPr>
        <w:t xml:space="preserve"> monitoring power consumption and</w:t>
      </w:r>
      <w:r>
        <w:rPr>
          <w:rFonts w:eastAsia="SimSun"/>
          <w:lang w:val="en-US" w:eastAsia="zh-CN"/>
        </w:rPr>
        <w:t xml:space="preserve"> skipping buffering the data part. For example, to monitor PDCCH in 10 slots, cross-slot scheduling uses 700 units while normal same-slot scheduling uses 1000 units. However, it is also a controversial point that why gNB needs to keep UE in a long period and only schedules the UE in a small </w:t>
      </w:r>
      <w:r>
        <w:rPr>
          <w:rFonts w:eastAsia="SimSun"/>
          <w:lang w:val="en-US" w:eastAsia="zh-CN"/>
        </w:rPr>
        <w:lastRenderedPageBreak/>
        <w:t>portion of active period. A smarter gNB willing to peruse lower UE power consumption should perform better traffic adaptation.</w:t>
      </w:r>
    </w:p>
    <w:p w14:paraId="27DCF4C1" w14:textId="5F314F10" w:rsidR="003B6B65" w:rsidRDefault="003B6B65" w:rsidP="003B6B65">
      <w:pPr>
        <w:rPr>
          <w:rFonts w:eastAsia="SimSun"/>
          <w:lang w:val="en-US" w:eastAsia="zh-CN"/>
        </w:rPr>
      </w:pPr>
      <w:r>
        <w:rPr>
          <w:rFonts w:eastAsia="SimSun"/>
          <w:lang w:val="en-US" w:eastAsia="zh-CN"/>
        </w:rPr>
        <w:t xml:space="preserve">In our opinion, </w:t>
      </w:r>
      <w:r w:rsidR="00AE0CE0">
        <w:rPr>
          <w:rFonts w:eastAsia="SimSun"/>
          <w:lang w:val="en-US" w:eastAsia="zh-CN"/>
        </w:rPr>
        <w:t>besides the traffic adaptation, the other</w:t>
      </w:r>
      <w:r>
        <w:rPr>
          <w:rFonts w:eastAsia="SimSun"/>
          <w:lang w:val="en-US" w:eastAsia="zh-CN"/>
        </w:rPr>
        <w:t xml:space="preserve"> main benefit brought by cross-slot scheduling comes from the possibility of aggregating multiple TBs into one slot to reduce the UE active time.</w:t>
      </w:r>
      <w:r>
        <w:rPr>
          <w:rFonts w:eastAsia="SimSun" w:hint="eastAsia"/>
          <w:lang w:val="en-US" w:eastAsia="zh-CN"/>
        </w:rPr>
        <w:t xml:space="preserve"> </w:t>
      </w:r>
      <w:r>
        <w:rPr>
          <w:rFonts w:eastAsia="SimSun"/>
          <w:lang w:val="en-US" w:eastAsia="zh-CN"/>
        </w:rPr>
        <w:t>For example, if two TB are scheduled with cross-slot scheduling in the PDSCH in the same slot, the power consumption is 70 + 70 + 280 = 420, while the same slot scheduling is 300 + 300 = 600. In this example, even UE buffers both control and data parts in each slot but cross-slot scheduling is assumed, the power is 100 + 100 + 300 = 500, which is still more efficient than same slot scheduling. The benefit can become more obvious along with more TBs are aggregated within a slot.</w:t>
      </w:r>
    </w:p>
    <w:p w14:paraId="23641C86" w14:textId="1558AE5C" w:rsidR="003B6B65" w:rsidRDefault="003B6B65" w:rsidP="003B6B65">
      <w:pPr>
        <w:rPr>
          <w:b/>
        </w:rPr>
      </w:pPr>
      <w:r w:rsidRPr="004F4B42">
        <w:rPr>
          <w:b/>
        </w:rPr>
        <w:t xml:space="preserve">Observation </w:t>
      </w:r>
      <w:r w:rsidR="00C56E74">
        <w:rPr>
          <w:b/>
        </w:rPr>
        <w:t>2</w:t>
      </w:r>
      <w:r w:rsidRPr="004F4B42">
        <w:rPr>
          <w:b/>
        </w:rPr>
        <w:t>: By proper implementation</w:t>
      </w:r>
      <w:r>
        <w:rPr>
          <w:b/>
        </w:rPr>
        <w:t xml:space="preserve"> of gNB scheduler</w:t>
      </w:r>
      <w:r w:rsidRPr="004F4B42">
        <w:rPr>
          <w:b/>
        </w:rPr>
        <w:t>, the data transmission can be aggregated into smaller number of slot</w:t>
      </w:r>
      <w:r>
        <w:rPr>
          <w:b/>
        </w:rPr>
        <w:t>s</w:t>
      </w:r>
      <w:r w:rsidR="00C56E74">
        <w:rPr>
          <w:b/>
        </w:rPr>
        <w:t xml:space="preserve"> by cross-slot scheduling</w:t>
      </w:r>
      <w:r w:rsidRPr="004F4B42">
        <w:rPr>
          <w:b/>
        </w:rPr>
        <w:t>, which is the</w:t>
      </w:r>
      <w:r w:rsidR="00C56E74">
        <w:rPr>
          <w:b/>
        </w:rPr>
        <w:t xml:space="preserve"> other</w:t>
      </w:r>
      <w:r w:rsidRPr="004F4B42">
        <w:rPr>
          <w:b/>
        </w:rPr>
        <w:t xml:space="preserve"> main </w:t>
      </w:r>
      <w:r>
        <w:rPr>
          <w:b/>
        </w:rPr>
        <w:t>enabler</w:t>
      </w:r>
      <w:r w:rsidRPr="004F4B42">
        <w:rPr>
          <w:b/>
        </w:rPr>
        <w:t xml:space="preserve"> of saving power consumption.</w:t>
      </w:r>
      <w:r>
        <w:rPr>
          <w:b/>
        </w:rPr>
        <w:t xml:space="preserve"> </w:t>
      </w:r>
    </w:p>
    <w:p w14:paraId="08F2D504" w14:textId="77777777" w:rsidR="00284E1B" w:rsidRDefault="00284E1B" w:rsidP="00D15816">
      <w:pPr>
        <w:rPr>
          <w:rFonts w:eastAsia="SimSun"/>
          <w:b/>
          <w:u w:val="single"/>
          <w:lang w:val="en-US" w:eastAsia="zh-CN"/>
        </w:rPr>
      </w:pPr>
    </w:p>
    <w:p w14:paraId="791A936C" w14:textId="24ED7B4D" w:rsidR="007E78D1" w:rsidRPr="00EC2B26" w:rsidRDefault="004E0656" w:rsidP="00D15816">
      <w:pPr>
        <w:rPr>
          <w:rFonts w:eastAsia="SimSun"/>
          <w:b/>
          <w:u w:val="single"/>
          <w:lang w:val="en-US" w:eastAsia="zh-CN"/>
        </w:rPr>
      </w:pPr>
      <w:r>
        <w:rPr>
          <w:rFonts w:eastAsia="SimSun"/>
          <w:b/>
          <w:u w:val="single"/>
          <w:lang w:val="en-US" w:eastAsia="zh-CN"/>
        </w:rPr>
        <w:t>Cross-slot scheduling procedure</w:t>
      </w:r>
    </w:p>
    <w:p w14:paraId="6D6C8C1C" w14:textId="0625B6F3" w:rsidR="003B6B65" w:rsidRPr="00FE30D9" w:rsidRDefault="00FE30D9" w:rsidP="003B6B65">
      <w:r w:rsidRPr="001E3834">
        <w:t xml:space="preserve">Based on the </w:t>
      </w:r>
      <w:r>
        <w:t>above observations</w:t>
      </w:r>
      <w:r w:rsidR="003B6B65" w:rsidRPr="00FE30D9">
        <w:t>, for cross-slot scheduling</w:t>
      </w:r>
      <w:r>
        <w:t xml:space="preserve"> procedure</w:t>
      </w:r>
      <w:r w:rsidR="003B6B65" w:rsidRPr="00FE30D9">
        <w:t xml:space="preserve">, </w:t>
      </w:r>
      <w:r>
        <w:t xml:space="preserve">the following UE behaviours </w:t>
      </w:r>
      <w:r w:rsidR="003B6B65" w:rsidRPr="00FE30D9">
        <w:t>should be clarified:</w:t>
      </w:r>
    </w:p>
    <w:p w14:paraId="78480262" w14:textId="4225CF5D" w:rsidR="003B6B65" w:rsidRPr="008E0583" w:rsidRDefault="003B6B65" w:rsidP="003B6B65">
      <w:r>
        <w:t>1. For minimum K0 &gt; 0, the UE can skip the PDSCH part buffering in the slots configured for PDCCH monitoring. The K0 value determines how fast UE is required to process PDCCH. A larger K0 value can relax the processing capability and lower the chipset voltage and frequency (DVSF). For each scheduling, the actually used K0 between PDCCH and PDSCH indicated by gNB depends on the packet scheduling aggregation strategy and traffic latency requirement. As shown in Figure.1, the K0 values are 4, 3, and 2 for PDCCH #1, #2 and #3 respectively. For PDCCH #4 and #5, the K0 values are 2 and 1.</w:t>
      </w:r>
    </w:p>
    <w:p w14:paraId="7D905F4F" w14:textId="38F6278E" w:rsidR="003B6B65" w:rsidRDefault="003B6B65" w:rsidP="003B6B65">
      <w:r>
        <w:t xml:space="preserve">2. It is a separate discussion point that whether the UE can also skip the PDCCH monitoring in a certain period after it detects a PDCCH. As shown in Figure.1, even after UE have detected PDCCH#3, it can also continue monitor PDCCH in Slot#n+3 and Slot#n+4. Since the PDCCH monitoring skipping may have impact on the flexibility of aggregating multiple scheduled TBs and the achievement of latency requirement, it is not </w:t>
      </w:r>
      <w:r w:rsidR="00DA7817">
        <w:t xml:space="preserve">always </w:t>
      </w:r>
      <w:r>
        <w:t xml:space="preserve">necessary to </w:t>
      </w:r>
      <w:r w:rsidR="00DA7817">
        <w:t xml:space="preserve">assume PDCCH monitoring skipping during </w:t>
      </w:r>
      <w:r>
        <w:t>cross-slot scheduling operation.</w:t>
      </w:r>
    </w:p>
    <w:p w14:paraId="26A567B1" w14:textId="1B8F233A" w:rsidR="003B6B65" w:rsidRPr="001A37D9" w:rsidRDefault="003B6B65" w:rsidP="003B6B65">
      <w:pPr>
        <w:rPr>
          <w:b/>
          <w:lang w:val="en-US"/>
        </w:rPr>
      </w:pPr>
      <w:r w:rsidRPr="001A37D9">
        <w:rPr>
          <w:b/>
        </w:rPr>
        <w:t xml:space="preserve">Proposal 1: </w:t>
      </w:r>
      <w:r w:rsidR="00FA1E39">
        <w:rPr>
          <w:b/>
        </w:rPr>
        <w:t xml:space="preserve">During </w:t>
      </w:r>
      <w:r w:rsidR="00741C42">
        <w:rPr>
          <w:b/>
        </w:rPr>
        <w:t xml:space="preserve">the </w:t>
      </w:r>
      <w:r w:rsidR="00FA1E39">
        <w:rPr>
          <w:b/>
        </w:rPr>
        <w:t>period of cross-slot scheduling</w:t>
      </w:r>
      <w:r w:rsidR="0043095D">
        <w:rPr>
          <w:b/>
        </w:rPr>
        <w:t xml:space="preserve"> i.e. PDCCH to </w:t>
      </w:r>
      <w:r w:rsidR="00741C42">
        <w:rPr>
          <w:b/>
        </w:rPr>
        <w:t xml:space="preserve">the assigned </w:t>
      </w:r>
      <w:r w:rsidR="0043095D">
        <w:rPr>
          <w:b/>
        </w:rPr>
        <w:t>PDSCH</w:t>
      </w:r>
      <w:r w:rsidR="00FA1E39">
        <w:rPr>
          <w:b/>
        </w:rPr>
        <w:t xml:space="preserve">, </w:t>
      </w:r>
      <w:r w:rsidR="0043095D">
        <w:rPr>
          <w:b/>
        </w:rPr>
        <w:t xml:space="preserve">whether to skip PDCCH monitoring or not </w:t>
      </w:r>
      <w:r w:rsidR="00741C42">
        <w:rPr>
          <w:b/>
        </w:rPr>
        <w:t xml:space="preserve">in this period </w:t>
      </w:r>
      <w:r w:rsidR="0043095D">
        <w:rPr>
          <w:b/>
        </w:rPr>
        <w:t xml:space="preserve">should be </w:t>
      </w:r>
      <w:r w:rsidR="00161A42">
        <w:rPr>
          <w:b/>
        </w:rPr>
        <w:t>allowed to control</w:t>
      </w:r>
      <w:r w:rsidR="0043095D">
        <w:rPr>
          <w:b/>
        </w:rPr>
        <w:t xml:space="preserve"> </w:t>
      </w:r>
      <w:r w:rsidR="00741C42">
        <w:rPr>
          <w:b/>
        </w:rPr>
        <w:t xml:space="preserve">separately from PDSCH </w:t>
      </w:r>
      <w:r w:rsidR="00BA3171">
        <w:rPr>
          <w:b/>
        </w:rPr>
        <w:t>assignment possibility</w:t>
      </w:r>
      <w:r w:rsidRPr="001A37D9">
        <w:rPr>
          <w:b/>
        </w:rPr>
        <w:t xml:space="preserve">. </w:t>
      </w:r>
    </w:p>
    <w:p w14:paraId="3287ACDF" w14:textId="77777777" w:rsidR="003B6B65" w:rsidRDefault="003B6B65" w:rsidP="003B6B65">
      <w:pPr>
        <w:rPr>
          <w:lang w:eastAsia="zh-CN"/>
        </w:rPr>
      </w:pPr>
    </w:p>
    <w:p w14:paraId="00298451" w14:textId="1CB28A4E" w:rsidR="003B6B65" w:rsidRDefault="003B6B65" w:rsidP="00206BC8">
      <w:pPr>
        <w:jc w:val="center"/>
        <w:rPr>
          <w:lang w:eastAsia="zh-CN"/>
        </w:rPr>
      </w:pPr>
      <w:r w:rsidRPr="00AC1B7C">
        <w:rPr>
          <w:noProof/>
          <w:lang w:val="en-US" w:eastAsia="zh-CN"/>
        </w:rPr>
        <w:drawing>
          <wp:inline distT="0" distB="0" distL="0" distR="0" wp14:anchorId="112B81C2" wp14:editId="4D1DAF9D">
            <wp:extent cx="4513634" cy="23197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0474" cy="2323306"/>
                    </a:xfrm>
                    <a:prstGeom prst="rect">
                      <a:avLst/>
                    </a:prstGeom>
                    <a:noFill/>
                    <a:ln>
                      <a:noFill/>
                    </a:ln>
                  </pic:spPr>
                </pic:pic>
              </a:graphicData>
            </a:graphic>
          </wp:inline>
        </w:drawing>
      </w:r>
      <w:r>
        <w:rPr>
          <w:lang w:eastAsia="zh-CN"/>
        </w:rPr>
        <w:t xml:space="preserve">                                                          </w:t>
      </w:r>
      <w:r w:rsidRPr="00C621ED">
        <w:rPr>
          <w:b/>
          <w:lang w:eastAsia="zh-CN"/>
        </w:rPr>
        <w:t>Figure.1 An example of cross-slot scheduling and PDCCH monitoring</w:t>
      </w:r>
    </w:p>
    <w:p w14:paraId="53C5C162" w14:textId="77777777" w:rsidR="003B6B65" w:rsidRDefault="003B6B65" w:rsidP="003B6B65">
      <w:r>
        <w:rPr>
          <w:lang w:eastAsia="zh-CN"/>
        </w:rPr>
        <w:t xml:space="preserve"> </w:t>
      </w:r>
    </w:p>
    <w:p w14:paraId="65B62712" w14:textId="5D473578" w:rsidR="00BC6D77" w:rsidRDefault="00003698" w:rsidP="003B6B65">
      <w:pPr>
        <w:rPr>
          <w:rFonts w:eastAsia="SimSun"/>
          <w:lang w:eastAsia="zh-CN"/>
        </w:rPr>
      </w:pPr>
      <w:r>
        <w:rPr>
          <w:rFonts w:eastAsia="SimSun"/>
          <w:lang w:eastAsia="zh-CN"/>
        </w:rPr>
        <w:t xml:space="preserve">Therefore, from the above </w:t>
      </w:r>
      <w:r w:rsidR="008D5EB2">
        <w:rPr>
          <w:rFonts w:eastAsia="SimSun"/>
          <w:lang w:eastAsia="zh-CN"/>
        </w:rPr>
        <w:t xml:space="preserve">analysis, the minimum K0 value between PDCCH and PDSCH can only serve to </w:t>
      </w:r>
      <w:r w:rsidR="00BC6D77">
        <w:rPr>
          <w:rFonts w:eastAsia="SimSun"/>
          <w:lang w:eastAsia="zh-CN"/>
        </w:rPr>
        <w:t>relax</w:t>
      </w:r>
      <w:r w:rsidR="008D5EB2">
        <w:rPr>
          <w:rFonts w:eastAsia="SimSun"/>
          <w:lang w:eastAsia="zh-CN"/>
        </w:rPr>
        <w:t xml:space="preserve"> the PDSCH buffering. If PDCCH monitoring skipping is also intended, separate indication is needed. Otherwise, if UE is configured with CORESET/search space fall in the gap between scheduling PDCCH and scheduled PDSCH, the UE should also be </w:t>
      </w:r>
      <w:r w:rsidR="00BC6D77">
        <w:rPr>
          <w:rFonts w:eastAsia="SimSun"/>
          <w:lang w:eastAsia="zh-CN"/>
        </w:rPr>
        <w:t>required</w:t>
      </w:r>
      <w:r w:rsidR="008D5EB2">
        <w:rPr>
          <w:rFonts w:eastAsia="SimSun"/>
          <w:lang w:eastAsia="zh-CN"/>
        </w:rPr>
        <w:t xml:space="preserve"> to monitor</w:t>
      </w:r>
      <w:r w:rsidR="00BC6D77">
        <w:rPr>
          <w:rFonts w:eastAsia="SimSun"/>
          <w:lang w:eastAsia="zh-CN"/>
        </w:rPr>
        <w:t xml:space="preserve"> the PDCCH in between.</w:t>
      </w:r>
      <w:r w:rsidR="008D5EB2">
        <w:rPr>
          <w:rFonts w:eastAsia="SimSun"/>
          <w:lang w:eastAsia="zh-CN"/>
        </w:rPr>
        <w:t xml:space="preserve"> </w:t>
      </w:r>
    </w:p>
    <w:p w14:paraId="6C421856" w14:textId="28CEA094" w:rsidR="00BC6D77" w:rsidRDefault="00AA597D" w:rsidP="003B6B65">
      <w:pPr>
        <w:rPr>
          <w:rFonts w:eastAsia="SimSun"/>
          <w:lang w:eastAsia="zh-CN"/>
        </w:rPr>
      </w:pPr>
      <w:r>
        <w:rPr>
          <w:rFonts w:eastAsia="SimSun"/>
          <w:lang w:eastAsia="zh-CN"/>
        </w:rPr>
        <w:t>As mentioned in our companion contribution</w:t>
      </w:r>
      <w:r w:rsidR="00DC608B">
        <w:rPr>
          <w:rFonts w:eastAsia="SimSun"/>
          <w:lang w:eastAsia="zh-CN"/>
        </w:rPr>
        <w:t xml:space="preserve"> </w:t>
      </w:r>
      <w:r w:rsidR="00D6324D">
        <w:rPr>
          <w:rFonts w:eastAsia="SimSun"/>
          <w:lang w:eastAsia="zh-CN"/>
        </w:rPr>
        <w:t>[</w:t>
      </w:r>
      <w:r w:rsidR="00DC608B">
        <w:rPr>
          <w:rFonts w:eastAsia="SimSun"/>
          <w:lang w:eastAsia="zh-CN"/>
        </w:rPr>
        <w:t>3</w:t>
      </w:r>
      <w:r w:rsidR="00D6324D">
        <w:rPr>
          <w:rFonts w:eastAsia="SimSun"/>
          <w:lang w:eastAsia="zh-CN"/>
        </w:rPr>
        <w:t>]</w:t>
      </w:r>
      <w:r>
        <w:rPr>
          <w:rFonts w:eastAsia="SimSun"/>
          <w:lang w:eastAsia="zh-CN"/>
        </w:rPr>
        <w:t>, the cross-slot scheduling related indication can be carried in Power Saving Signal/Channel (PoSS).</w:t>
      </w:r>
      <w:r w:rsidR="00003698">
        <w:rPr>
          <w:rFonts w:eastAsia="SimSun"/>
          <w:lang w:eastAsia="zh-CN"/>
        </w:rPr>
        <w:t xml:space="preserve"> </w:t>
      </w:r>
      <w:r w:rsidR="00BC6D77">
        <w:rPr>
          <w:rFonts w:eastAsia="SimSun"/>
          <w:lang w:eastAsia="zh-CN"/>
        </w:rPr>
        <w:t xml:space="preserve">Thus we think it is beneficial to add an indication of whether to skip PDCCH </w:t>
      </w:r>
      <w:r w:rsidR="004675BE">
        <w:rPr>
          <w:rFonts w:eastAsia="SimSun"/>
          <w:lang w:eastAsia="zh-CN"/>
        </w:rPr>
        <w:t>in</w:t>
      </w:r>
      <w:r w:rsidR="00BC6D77">
        <w:rPr>
          <w:rFonts w:eastAsia="SimSun"/>
          <w:lang w:eastAsia="zh-CN"/>
        </w:rPr>
        <w:t xml:space="preserve"> the gap.</w:t>
      </w:r>
    </w:p>
    <w:p w14:paraId="14AA1F91" w14:textId="64819CD2" w:rsidR="00AA597D" w:rsidRPr="00A856CD" w:rsidRDefault="00BC6D77" w:rsidP="003B6B65">
      <w:pPr>
        <w:rPr>
          <w:rFonts w:eastAsia="SimSun"/>
          <w:b/>
          <w:lang w:eastAsia="zh-CN"/>
        </w:rPr>
      </w:pPr>
      <w:r w:rsidRPr="00A856CD">
        <w:rPr>
          <w:rFonts w:eastAsia="SimSun"/>
          <w:b/>
          <w:lang w:eastAsia="zh-CN"/>
        </w:rPr>
        <w:lastRenderedPageBreak/>
        <w:t xml:space="preserve">Proposal 2: </w:t>
      </w:r>
      <w:r w:rsidR="003A0007" w:rsidRPr="00A856CD">
        <w:rPr>
          <w:rFonts w:eastAsia="SimSun"/>
          <w:b/>
          <w:lang w:eastAsia="zh-CN"/>
        </w:rPr>
        <w:t xml:space="preserve">The PoSS could be considered to indicate whether to skip PDCCH monitoring during </w:t>
      </w:r>
      <w:r w:rsidR="00911FD7" w:rsidRPr="00A856CD">
        <w:rPr>
          <w:rFonts w:eastAsia="SimSun"/>
          <w:b/>
          <w:lang w:eastAsia="zh-CN"/>
        </w:rPr>
        <w:t xml:space="preserve">gap </w:t>
      </w:r>
      <w:r w:rsidR="00A856CD" w:rsidRPr="00A856CD">
        <w:rPr>
          <w:rFonts w:eastAsia="SimSun"/>
          <w:b/>
          <w:lang w:eastAsia="zh-CN"/>
        </w:rPr>
        <w:t>of cross-slot scheduling.</w:t>
      </w:r>
    </w:p>
    <w:p w14:paraId="06669675" w14:textId="77777777" w:rsidR="00AA597D" w:rsidRDefault="00AA597D" w:rsidP="003B6B65">
      <w:pPr>
        <w:rPr>
          <w:rFonts w:eastAsia="SimSun"/>
          <w:lang w:eastAsia="zh-CN"/>
        </w:rPr>
      </w:pPr>
    </w:p>
    <w:p w14:paraId="1D4E19F9" w14:textId="0D02E47E" w:rsidR="00AA597D" w:rsidRPr="008D58A8" w:rsidRDefault="004E0656" w:rsidP="003B6B65">
      <w:pPr>
        <w:rPr>
          <w:rFonts w:eastAsia="SimSun"/>
          <w:b/>
          <w:u w:val="single"/>
          <w:lang w:eastAsia="zh-CN"/>
        </w:rPr>
      </w:pPr>
      <w:r w:rsidRPr="008D58A8">
        <w:rPr>
          <w:rFonts w:eastAsia="SimSun"/>
          <w:b/>
          <w:u w:val="single"/>
          <w:lang w:eastAsia="zh-CN"/>
        </w:rPr>
        <w:t>Cross-slot scheduling adaptation</w:t>
      </w:r>
    </w:p>
    <w:p w14:paraId="430466ED" w14:textId="23A12B07" w:rsidR="00D65C56" w:rsidRDefault="004675BE" w:rsidP="003B6B65">
      <w:pPr>
        <w:rPr>
          <w:rFonts w:eastAsia="SimSun"/>
          <w:lang w:eastAsia="zh-CN"/>
        </w:rPr>
      </w:pPr>
      <w:r>
        <w:rPr>
          <w:rFonts w:eastAsia="SimSun"/>
          <w:lang w:eastAsia="zh-CN"/>
        </w:rPr>
        <w:t xml:space="preserve">In principle, the </w:t>
      </w:r>
      <w:r w:rsidR="00AB41A3">
        <w:rPr>
          <w:rFonts w:eastAsia="SimSun"/>
          <w:lang w:eastAsia="zh-CN"/>
        </w:rPr>
        <w:t>Rel.15 UE specifically configured TDRA naturally support cross-slot scheduling</w:t>
      </w:r>
      <w:r w:rsidR="00D229E0">
        <w:rPr>
          <w:rFonts w:eastAsia="SimSun"/>
          <w:lang w:eastAsia="zh-CN"/>
        </w:rPr>
        <w:t xml:space="preserve">. However, for </w:t>
      </w:r>
      <w:r w:rsidR="00624FFF">
        <w:rPr>
          <w:rFonts w:eastAsia="SimSun"/>
          <w:lang w:eastAsia="zh-CN"/>
        </w:rPr>
        <w:t>faster</w:t>
      </w:r>
      <w:r w:rsidR="00D229E0">
        <w:rPr>
          <w:rFonts w:eastAsia="SimSun"/>
          <w:lang w:eastAsia="zh-CN"/>
        </w:rPr>
        <w:t xml:space="preserve"> traffic adaptation, </w:t>
      </w:r>
      <w:r w:rsidR="00624FFF">
        <w:rPr>
          <w:rFonts w:eastAsia="SimSun"/>
          <w:lang w:eastAsia="zh-CN"/>
        </w:rPr>
        <w:t>the below options are now discussed:</w:t>
      </w:r>
    </w:p>
    <w:p w14:paraId="11A456A6" w14:textId="3AE6486F" w:rsidR="00A9065B" w:rsidRDefault="00624FFF" w:rsidP="00624FFF">
      <w:pPr>
        <w:pStyle w:val="ListParagraph"/>
        <w:numPr>
          <w:ilvl w:val="0"/>
          <w:numId w:val="249"/>
        </w:numPr>
      </w:pPr>
      <w:r>
        <w:t>Single BWP operation</w:t>
      </w:r>
      <w:r w:rsidR="00A9065B">
        <w:t xml:space="preserve"> case</w:t>
      </w:r>
    </w:p>
    <w:p w14:paraId="3EF63798" w14:textId="69989543" w:rsidR="00624FFF" w:rsidRPr="00EB2A2E" w:rsidRDefault="00624FFF" w:rsidP="00624FFF">
      <w:pPr>
        <w:rPr>
          <w:color w:val="000000"/>
          <w:lang w:val="en-US"/>
        </w:rPr>
      </w:pPr>
      <w:r>
        <w:t>For</w:t>
      </w:r>
      <w:r w:rsidRPr="00EB2A2E">
        <w:rPr>
          <w:color w:val="000000"/>
          <w:lang w:val="en-US"/>
        </w:rPr>
        <w:t xml:space="preserve"> adapt</w:t>
      </w:r>
      <w:r>
        <w:rPr>
          <w:color w:val="000000"/>
          <w:lang w:val="en-US"/>
        </w:rPr>
        <w:t>ation of</w:t>
      </w:r>
      <w:r w:rsidRPr="00EB2A2E">
        <w:rPr>
          <w:color w:val="000000"/>
          <w:lang w:val="en-US"/>
        </w:rPr>
        <w:t xml:space="preserve"> the minimum applicable value of K0</w:t>
      </w:r>
      <w:r w:rsidRPr="00EB2A2E">
        <w:t xml:space="preserve"> (or K</w:t>
      </w:r>
      <w:r w:rsidR="00A9065B">
        <w:t>2) for an active DL (or UL) BWP</w:t>
      </w:r>
      <w:r w:rsidR="00654F68">
        <w:rPr>
          <w:color w:val="000000"/>
          <w:lang w:val="en-US"/>
        </w:rPr>
        <w:t>, more detailed indication on changing from the current TDRA table</w:t>
      </w:r>
      <w:r w:rsidR="00794AAD">
        <w:rPr>
          <w:color w:val="000000"/>
          <w:lang w:val="en-US"/>
        </w:rPr>
        <w:t xml:space="preserve"> can be considered. In the previous meeting, the follow alternatives were identified:</w:t>
      </w:r>
    </w:p>
    <w:p w14:paraId="06BF9146" w14:textId="77777777" w:rsidR="00624FFF" w:rsidRPr="00EB2A2E" w:rsidRDefault="00624FFF" w:rsidP="00794AAD">
      <w:pPr>
        <w:pStyle w:val="ListParagraph"/>
        <w:numPr>
          <w:ilvl w:val="0"/>
          <w:numId w:val="254"/>
        </w:numPr>
        <w:spacing w:after="0"/>
        <w:ind w:left="1212"/>
        <w:contextualSpacing w:val="0"/>
      </w:pPr>
      <w:r w:rsidRPr="00EB2A2E">
        <w:t>Alt 1: Indication of a subset of TDRA entries, e.g., bit-map based indication</w:t>
      </w:r>
    </w:p>
    <w:p w14:paraId="7E34CFBE" w14:textId="77777777" w:rsidR="00624FFF" w:rsidRPr="00EB2A2E" w:rsidRDefault="00624FFF" w:rsidP="00794AAD">
      <w:pPr>
        <w:pStyle w:val="ListParagraph"/>
        <w:numPr>
          <w:ilvl w:val="0"/>
          <w:numId w:val="252"/>
        </w:numPr>
        <w:spacing w:after="0"/>
        <w:ind w:left="1212"/>
        <w:contextualSpacing w:val="0"/>
      </w:pPr>
      <w:r w:rsidRPr="00EB2A2E">
        <w:t>Alt 2: Indication of one active table from multiple configured TDRA tables</w:t>
      </w:r>
    </w:p>
    <w:p w14:paraId="4B129765" w14:textId="77777777" w:rsidR="00624FFF" w:rsidRPr="00EB2A2E" w:rsidRDefault="00624FFF" w:rsidP="00794AAD">
      <w:pPr>
        <w:pStyle w:val="ListParagraph"/>
        <w:numPr>
          <w:ilvl w:val="0"/>
          <w:numId w:val="253"/>
        </w:numPr>
        <w:autoSpaceDE w:val="0"/>
        <w:autoSpaceDN w:val="0"/>
        <w:spacing w:before="40" w:after="40"/>
        <w:ind w:left="1212"/>
        <w:contextualSpacing w:val="0"/>
      </w:pPr>
      <w:r w:rsidRPr="00EB2A2E">
        <w:t>Alt 3: Indication of the minimum applicable value</w:t>
      </w:r>
    </w:p>
    <w:p w14:paraId="4E6439B9" w14:textId="1744A16C" w:rsidR="00A9065B" w:rsidRDefault="005A5E83" w:rsidP="003B6B65">
      <w:pPr>
        <w:rPr>
          <w:lang w:eastAsia="ja-JP"/>
        </w:rPr>
      </w:pPr>
      <w:r>
        <w:rPr>
          <w:rFonts w:hint="eastAsia"/>
          <w:lang w:eastAsia="ja-JP"/>
        </w:rPr>
        <w:t xml:space="preserve">Among described alternatives, </w:t>
      </w:r>
      <w:r>
        <w:rPr>
          <w:lang w:eastAsia="ja-JP"/>
        </w:rPr>
        <w:t xml:space="preserve">alt 1 and alt 3 restrict some entries of TDRA table and alt 2 uses alternative TDRA table. From the scheduler flexibility perspective, in alt 2, basically all TDRA entries of up to 16 can be used respectively within cross scheduling situation and non-cross scheduling situation. Such flexibility has the merit especially FR2 of analogue beam forming of TDMA operation. </w:t>
      </w:r>
      <w:r w:rsidR="001E2643">
        <w:rPr>
          <w:lang w:eastAsia="ja-JP"/>
        </w:rPr>
        <w:t>If the number of TDRA entries is extended to 32 or more, the similar gain can be obtained in alt 1 and alt 3. Alt 2 has the merit of the similarity with following BWP-switching case but to restrict the function only for TDRA table. Therefore, our preference is Alt.2.</w:t>
      </w:r>
    </w:p>
    <w:p w14:paraId="4C2E2395" w14:textId="0F2173ED" w:rsidR="001E2643" w:rsidRPr="00A856CD" w:rsidRDefault="001E2643" w:rsidP="001E2643">
      <w:pPr>
        <w:rPr>
          <w:rFonts w:eastAsia="SimSun"/>
          <w:b/>
          <w:lang w:eastAsia="zh-CN"/>
        </w:rPr>
      </w:pPr>
      <w:r>
        <w:rPr>
          <w:rFonts w:eastAsia="SimSun"/>
          <w:b/>
          <w:lang w:eastAsia="zh-CN"/>
        </w:rPr>
        <w:t>Proposal 3</w:t>
      </w:r>
      <w:r w:rsidRPr="00A856CD">
        <w:rPr>
          <w:rFonts w:eastAsia="SimSun"/>
          <w:b/>
          <w:lang w:eastAsia="zh-CN"/>
        </w:rPr>
        <w:t xml:space="preserve">: </w:t>
      </w:r>
      <w:r>
        <w:rPr>
          <w:rFonts w:eastAsia="SimSun"/>
          <w:b/>
          <w:lang w:eastAsia="zh-CN"/>
        </w:rPr>
        <w:t>For single BWP operation case, it is proposed to take Alt 2: i</w:t>
      </w:r>
      <w:r w:rsidRPr="001E2643">
        <w:rPr>
          <w:rFonts w:eastAsia="SimSun"/>
          <w:b/>
          <w:lang w:eastAsia="zh-CN"/>
        </w:rPr>
        <w:t>ndication of one active table from multiple configured TDRA tables</w:t>
      </w:r>
      <w:r w:rsidRPr="00A856CD">
        <w:rPr>
          <w:rFonts w:eastAsia="SimSun"/>
          <w:b/>
          <w:lang w:eastAsia="zh-CN"/>
        </w:rPr>
        <w:t>.</w:t>
      </w:r>
    </w:p>
    <w:p w14:paraId="0B08A054" w14:textId="77777777" w:rsidR="005A5E83" w:rsidRDefault="005A5E83" w:rsidP="003B6B65">
      <w:pPr>
        <w:rPr>
          <w:lang w:eastAsia="ja-JP"/>
        </w:rPr>
      </w:pPr>
    </w:p>
    <w:p w14:paraId="71C436FA" w14:textId="51087609" w:rsidR="00794AAD" w:rsidRDefault="00794AAD" w:rsidP="00794AAD">
      <w:pPr>
        <w:pStyle w:val="ListParagraph"/>
        <w:numPr>
          <w:ilvl w:val="0"/>
          <w:numId w:val="253"/>
        </w:numPr>
      </w:pPr>
      <w:r>
        <w:t>BWP-switching case</w:t>
      </w:r>
    </w:p>
    <w:p w14:paraId="643D3FA2" w14:textId="50E00A4A" w:rsidR="00CD6E94" w:rsidRDefault="00B73B77" w:rsidP="003B6B65">
      <w:pPr>
        <w:rPr>
          <w:rFonts w:eastAsia="SimSun"/>
          <w:lang w:eastAsia="zh-CN"/>
        </w:rPr>
      </w:pPr>
      <w:r>
        <w:rPr>
          <w:rFonts w:eastAsia="SimSun"/>
          <w:lang w:eastAsia="zh-CN"/>
        </w:rPr>
        <w:t>S</w:t>
      </w:r>
      <w:r w:rsidR="00C3094E">
        <w:rPr>
          <w:rFonts w:eastAsia="SimSun"/>
          <w:lang w:eastAsia="zh-CN"/>
        </w:rPr>
        <w:t>ince the configured TDRA table is BWP- specific</w:t>
      </w:r>
      <w:r>
        <w:rPr>
          <w:rFonts w:eastAsia="SimSun"/>
          <w:lang w:eastAsia="zh-CN"/>
        </w:rPr>
        <w:t xml:space="preserve"> for Rel-15 cross-slot sched</w:t>
      </w:r>
      <w:r w:rsidR="00CD6E94">
        <w:rPr>
          <w:rFonts w:eastAsia="SimSun"/>
          <w:lang w:eastAsia="zh-CN"/>
        </w:rPr>
        <w:t>u</w:t>
      </w:r>
      <w:r>
        <w:rPr>
          <w:rFonts w:eastAsia="SimSun"/>
          <w:lang w:eastAsia="zh-CN"/>
        </w:rPr>
        <w:t>ling</w:t>
      </w:r>
      <w:r w:rsidR="00C3094E">
        <w:rPr>
          <w:rFonts w:eastAsia="SimSun"/>
          <w:lang w:eastAsia="zh-CN"/>
        </w:rPr>
        <w:t xml:space="preserve">, </w:t>
      </w:r>
      <w:r w:rsidR="009608D2">
        <w:rPr>
          <w:rFonts w:eastAsia="SimSun"/>
          <w:lang w:eastAsia="zh-CN"/>
        </w:rPr>
        <w:t>which plays an important role in the discussion of power saving from same/cross/multi-slot scheduling</w:t>
      </w:r>
      <w:r w:rsidR="00CF0F5C">
        <w:rPr>
          <w:rFonts w:eastAsia="SimSun"/>
          <w:lang w:eastAsia="zh-CN"/>
        </w:rPr>
        <w:t xml:space="preserve"> in the study item phase</w:t>
      </w:r>
      <w:r w:rsidR="009608D2">
        <w:rPr>
          <w:rFonts w:eastAsia="SimSun"/>
          <w:lang w:eastAsia="zh-CN"/>
        </w:rPr>
        <w:t xml:space="preserve">, </w:t>
      </w:r>
      <w:r w:rsidR="00C3094E">
        <w:rPr>
          <w:rFonts w:eastAsia="SimSun"/>
          <w:lang w:eastAsia="zh-CN"/>
        </w:rPr>
        <w:t xml:space="preserve">the time domain processing timeline adaptation </w:t>
      </w:r>
      <w:r w:rsidR="00CD6E94">
        <w:rPr>
          <w:rFonts w:eastAsia="SimSun"/>
          <w:lang w:eastAsia="zh-CN"/>
        </w:rPr>
        <w:t>can be by</w:t>
      </w:r>
      <w:r w:rsidR="00C3094E">
        <w:rPr>
          <w:rFonts w:eastAsia="SimSun"/>
          <w:lang w:eastAsia="zh-CN"/>
        </w:rPr>
        <w:t xml:space="preserve"> BWP switching.</w:t>
      </w:r>
      <w:r w:rsidR="009608D2">
        <w:rPr>
          <w:rFonts w:eastAsia="SimSun"/>
          <w:lang w:eastAsia="zh-CN"/>
        </w:rPr>
        <w:t xml:space="preserve"> </w:t>
      </w:r>
      <w:r w:rsidR="00CD6E94">
        <w:rPr>
          <w:rFonts w:eastAsia="SimSun"/>
          <w:lang w:eastAsia="zh-CN"/>
        </w:rPr>
        <w:t>By proper configuration with TDRA table with desirable minimum K0/K2 values for each BWP, L1-based BWP switching can provide very dynamic adaptation.</w:t>
      </w:r>
    </w:p>
    <w:p w14:paraId="397EB5FB" w14:textId="6CD7C00A" w:rsidR="00CD6E94" w:rsidRDefault="00CD6E94" w:rsidP="003B6B65">
      <w:pPr>
        <w:rPr>
          <w:rFonts w:eastAsia="SimSun"/>
          <w:lang w:eastAsia="zh-CN"/>
        </w:rPr>
      </w:pPr>
      <w:r>
        <w:rPr>
          <w:rFonts w:eastAsia="SimSun"/>
          <w:lang w:eastAsia="zh-CN"/>
        </w:rPr>
        <w:t>One potential issue may happen during the BWP switching</w:t>
      </w:r>
      <w:r w:rsidR="00B800E3">
        <w:rPr>
          <w:rFonts w:eastAsia="SimSun"/>
          <w:lang w:eastAsia="zh-CN"/>
        </w:rPr>
        <w:t xml:space="preserve">. As shown in Figure 2, during BWP switching, the TDRA table of target BWP is assumed by current specification. </w:t>
      </w:r>
      <w:r w:rsidR="00AB64F8">
        <w:rPr>
          <w:rFonts w:eastAsia="SimSun"/>
          <w:lang w:eastAsia="zh-CN"/>
        </w:rPr>
        <w:t>If the K0 values in the table are configured with localized values for power saving, it will be not flexible to schedule t</w:t>
      </w:r>
      <w:r w:rsidR="003D62A4">
        <w:rPr>
          <w:rFonts w:eastAsia="SimSun"/>
          <w:lang w:eastAsia="zh-CN"/>
        </w:rPr>
        <w:t>he initial slot after switching</w:t>
      </w:r>
      <w:r w:rsidR="00AB64F8">
        <w:rPr>
          <w:rFonts w:eastAsia="SimSun"/>
          <w:lang w:eastAsia="zh-CN"/>
        </w:rPr>
        <w:t>.</w:t>
      </w:r>
      <w:r w:rsidR="00583B9B">
        <w:rPr>
          <w:rFonts w:eastAsia="SimSun"/>
          <w:lang w:eastAsia="zh-CN"/>
        </w:rPr>
        <w:t xml:space="preserve"> For </w:t>
      </w:r>
      <w:r w:rsidR="00005408">
        <w:rPr>
          <w:rFonts w:eastAsia="SimSun"/>
          <w:lang w:eastAsia="zh-CN"/>
        </w:rPr>
        <w:t>example, if the TDRA table of BWP#2 is used, PDCCH#3 needs K0=3 to schedule PDSCH#3</w:t>
      </w:r>
      <w:r w:rsidR="00AB64F8">
        <w:rPr>
          <w:rFonts w:eastAsia="SimSun"/>
          <w:lang w:eastAsia="zh-CN"/>
        </w:rPr>
        <w:t xml:space="preserve"> </w:t>
      </w:r>
      <w:r w:rsidR="003D62A4">
        <w:rPr>
          <w:rFonts w:eastAsia="SimSun"/>
          <w:lang w:eastAsia="zh-CN"/>
        </w:rPr>
        <w:t xml:space="preserve">If the K0 minimum value is too small, it is easy for the scheduled PDSCH fall in the transition period. If it is too large, some initial slots after switching is not schedulable. </w:t>
      </w:r>
      <w:r w:rsidR="00AB64F8">
        <w:rPr>
          <w:rFonts w:eastAsia="SimSun"/>
          <w:lang w:eastAsia="zh-CN"/>
        </w:rPr>
        <w:t>T</w:t>
      </w:r>
      <w:r w:rsidR="00B800E3">
        <w:rPr>
          <w:rFonts w:eastAsia="SimSun"/>
          <w:lang w:eastAsia="zh-CN"/>
        </w:rPr>
        <w:t>hus</w:t>
      </w:r>
      <w:r w:rsidR="00AB64F8">
        <w:rPr>
          <w:rFonts w:eastAsia="SimSun"/>
          <w:lang w:eastAsia="zh-CN"/>
        </w:rPr>
        <w:t xml:space="preserve"> the target TDRA table needs to ensure below several points:</w:t>
      </w:r>
    </w:p>
    <w:p w14:paraId="22BC56FF" w14:textId="75E7DA2C" w:rsidR="00AB64F8" w:rsidRDefault="00AB64F8" w:rsidP="003B6B65">
      <w:pPr>
        <w:rPr>
          <w:rFonts w:eastAsia="SimSun"/>
          <w:lang w:eastAsia="zh-CN"/>
        </w:rPr>
      </w:pPr>
      <w:r>
        <w:rPr>
          <w:rFonts w:eastAsia="SimSun"/>
          <w:lang w:eastAsia="zh-CN"/>
        </w:rPr>
        <w:t>1. The addressable entries by the time domain resource indication in t</w:t>
      </w:r>
      <w:r w:rsidR="003D62A4">
        <w:rPr>
          <w:rFonts w:eastAsia="SimSun"/>
          <w:lang w:eastAsia="zh-CN"/>
        </w:rPr>
        <w:t>he DCI field of BWP#1 are better not to include any</w:t>
      </w:r>
      <w:r>
        <w:rPr>
          <w:rFonts w:eastAsia="SimSun"/>
          <w:lang w:eastAsia="zh-CN"/>
        </w:rPr>
        <w:t xml:space="preserve"> K0 values that fall within</w:t>
      </w:r>
      <w:r w:rsidR="003D62A4">
        <w:rPr>
          <w:rFonts w:eastAsia="SimSun"/>
          <w:lang w:eastAsia="zh-CN"/>
        </w:rPr>
        <w:t xml:space="preserve"> transition period.</w:t>
      </w:r>
      <w:r w:rsidR="00583B9B">
        <w:rPr>
          <w:rFonts w:eastAsia="SimSun"/>
          <w:lang w:eastAsia="zh-CN"/>
        </w:rPr>
        <w:t xml:space="preserve"> If happens, it should be deemed as an error case.</w:t>
      </w:r>
    </w:p>
    <w:p w14:paraId="15129217" w14:textId="5987232C" w:rsidR="003D62A4" w:rsidRPr="00AB64F8" w:rsidRDefault="003D62A4" w:rsidP="003B6B65">
      <w:pPr>
        <w:rPr>
          <w:rFonts w:eastAsia="SimSun"/>
          <w:lang w:val="en-US" w:eastAsia="zh-CN"/>
        </w:rPr>
      </w:pPr>
      <w:r>
        <w:rPr>
          <w:rFonts w:eastAsia="SimSun"/>
          <w:lang w:eastAsia="zh-CN"/>
        </w:rPr>
        <w:t xml:space="preserve">2. The addressable entries by the time domain resource indication in the DCI field </w:t>
      </w:r>
      <w:r w:rsidR="009306EF">
        <w:rPr>
          <w:rFonts w:eastAsia="SimSun"/>
          <w:lang w:eastAsia="zh-CN"/>
        </w:rPr>
        <w:t>are better capable to schedule the slots initially after the BWP switching</w:t>
      </w:r>
      <w:r w:rsidR="00583B9B">
        <w:rPr>
          <w:rFonts w:eastAsia="SimSun"/>
          <w:lang w:eastAsia="zh-CN"/>
        </w:rPr>
        <w:t>.</w:t>
      </w:r>
    </w:p>
    <w:p w14:paraId="68B53B2F" w14:textId="11A8DEC6" w:rsidR="00CD6E94" w:rsidRDefault="00B800E3" w:rsidP="00B800E3">
      <w:pPr>
        <w:jc w:val="center"/>
        <w:rPr>
          <w:rFonts w:eastAsia="SimSun"/>
          <w:lang w:eastAsia="zh-CN"/>
        </w:rPr>
      </w:pPr>
      <w:r>
        <w:rPr>
          <w:rFonts w:eastAsia="SimSun"/>
          <w:lang w:val="en-US" w:eastAsia="zh-CN"/>
        </w:rPr>
        <w:lastRenderedPageBreak/>
        <w:t xml:space="preserve"> </w:t>
      </w:r>
      <w:r w:rsidRPr="00B800E3">
        <w:rPr>
          <w:rFonts w:eastAsia="SimSun"/>
          <w:lang w:val="en-US" w:eastAsia="zh-CN"/>
        </w:rPr>
        <w:object w:dxaOrig="10586" w:dyaOrig="5778" w14:anchorId="3C3DA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5pt;height:192.85pt" o:ole="">
            <v:imagedata r:id="rId9" o:title=""/>
          </v:shape>
          <o:OLEObject Type="Embed" ProgID="Visio.Drawing.15" ShapeID="_x0000_i1025" DrawAspect="Content" ObjectID="_1618391648" r:id="rId10"/>
        </w:object>
      </w:r>
      <w:r>
        <w:rPr>
          <w:rFonts w:eastAsia="SimSun"/>
          <w:lang w:eastAsia="zh-CN"/>
        </w:rPr>
        <w:t xml:space="preserve">                                              </w:t>
      </w:r>
      <w:r w:rsidRPr="00B800E3">
        <w:rPr>
          <w:rFonts w:eastAsia="SimSun"/>
          <w:b/>
          <w:lang w:eastAsia="zh-CN"/>
        </w:rPr>
        <w:t>Figure 2. Scheduling limitation of TDRA table adaptation during BWP switching</w:t>
      </w:r>
    </w:p>
    <w:p w14:paraId="55C2319C" w14:textId="77777777" w:rsidR="00D87A12" w:rsidRDefault="00380B30" w:rsidP="003B6B65">
      <w:pPr>
        <w:rPr>
          <w:rFonts w:eastAsia="SimSun"/>
          <w:lang w:eastAsia="zh-CN"/>
        </w:rPr>
      </w:pPr>
      <w:r>
        <w:rPr>
          <w:rFonts w:eastAsia="SimSun"/>
          <w:lang w:eastAsia="zh-CN"/>
        </w:rPr>
        <w:t xml:space="preserve">For better power saving, more restricted and localized K0 values are beneficial, which are however not friendly for flexible scheduling. </w:t>
      </w:r>
      <w:r w:rsidR="00583B9B">
        <w:rPr>
          <w:rFonts w:eastAsia="SimSun"/>
          <w:lang w:eastAsia="zh-CN"/>
        </w:rPr>
        <w:t xml:space="preserve">Thus there is clearly </w:t>
      </w:r>
      <w:r>
        <w:rPr>
          <w:rFonts w:eastAsia="SimSun"/>
          <w:lang w:eastAsia="zh-CN"/>
        </w:rPr>
        <w:t xml:space="preserve">some tradeoff between power saving and scheduling flexibility. </w:t>
      </w:r>
    </w:p>
    <w:p w14:paraId="71356661" w14:textId="4D5C0707" w:rsidR="00583B9B" w:rsidRDefault="00D87A12" w:rsidP="003B6B65">
      <w:pPr>
        <w:rPr>
          <w:rFonts w:eastAsia="SimSun"/>
          <w:lang w:eastAsia="zh-CN"/>
        </w:rPr>
      </w:pPr>
      <w:r>
        <w:rPr>
          <w:rFonts w:eastAsia="SimSun"/>
          <w:lang w:eastAsia="zh-CN"/>
        </w:rPr>
        <w:t>During the TDRA table changing</w:t>
      </w:r>
      <w:r w:rsidR="00DE6E96">
        <w:rPr>
          <w:rFonts w:eastAsia="SimSun"/>
          <w:lang w:eastAsia="zh-CN"/>
        </w:rPr>
        <w:t xml:space="preserve"> for</w:t>
      </w:r>
      <w:r>
        <w:rPr>
          <w:rFonts w:eastAsia="SimSun"/>
          <w:lang w:eastAsia="zh-CN"/>
        </w:rPr>
        <w:t xml:space="preserve"> one BWP case, similar issues can also be</w:t>
      </w:r>
      <w:r w:rsidR="00DE6E96">
        <w:rPr>
          <w:rFonts w:eastAsia="SimSun"/>
          <w:lang w:eastAsia="zh-CN"/>
        </w:rPr>
        <w:t xml:space="preserve"> observed. Thus,</w:t>
      </w:r>
    </w:p>
    <w:p w14:paraId="104773E2" w14:textId="20355129" w:rsidR="00380B30" w:rsidRPr="008D58A8" w:rsidRDefault="00380B30" w:rsidP="003B6B65"/>
    <w:p w14:paraId="3877643E" w14:textId="4FA03C16" w:rsidR="00380B30" w:rsidRPr="00DE6E96" w:rsidRDefault="00380B30" w:rsidP="003B6B65">
      <w:pPr>
        <w:rPr>
          <w:rFonts w:eastAsia="SimSun"/>
          <w:b/>
          <w:lang w:eastAsia="zh-CN"/>
        </w:rPr>
      </w:pPr>
      <w:r w:rsidRPr="00DE6E96">
        <w:rPr>
          <w:rFonts w:eastAsia="SimSun"/>
          <w:b/>
          <w:lang w:eastAsia="zh-CN"/>
        </w:rPr>
        <w:t xml:space="preserve">Proposal </w:t>
      </w:r>
      <w:r w:rsidR="008B126E">
        <w:rPr>
          <w:rFonts w:eastAsia="SimSun"/>
          <w:b/>
          <w:lang w:eastAsia="zh-CN"/>
        </w:rPr>
        <w:t>4</w:t>
      </w:r>
      <w:r w:rsidRPr="00DE6E96">
        <w:rPr>
          <w:rFonts w:eastAsia="SimSun"/>
          <w:b/>
          <w:lang w:eastAsia="zh-CN"/>
        </w:rPr>
        <w:t xml:space="preserve">: </w:t>
      </w:r>
      <w:r w:rsidR="00DE6E96" w:rsidRPr="00DE6E96">
        <w:rPr>
          <w:rFonts w:eastAsia="SimSun"/>
          <w:b/>
          <w:lang w:eastAsia="zh-CN"/>
        </w:rPr>
        <w:t>During TDRA table adaptation, it needs to be studied on how to deal with the scheduling flexibility and error case.</w:t>
      </w:r>
    </w:p>
    <w:p w14:paraId="7E8756C7" w14:textId="0F6F51CD" w:rsidR="00425857" w:rsidRDefault="00425857" w:rsidP="000E7739">
      <w:pPr>
        <w:rPr>
          <w:b/>
        </w:rPr>
      </w:pPr>
    </w:p>
    <w:p w14:paraId="272F5DE9" w14:textId="545CA43A" w:rsidR="008B126E" w:rsidRPr="00AC4D47" w:rsidRDefault="008B126E" w:rsidP="008B126E">
      <w:pPr>
        <w:rPr>
          <w:rFonts w:eastAsia="SimSun"/>
          <w:b/>
          <w:u w:val="single"/>
          <w:lang w:eastAsia="zh-CN"/>
        </w:rPr>
      </w:pPr>
      <w:r>
        <w:rPr>
          <w:rFonts w:eastAsia="SimSun"/>
          <w:b/>
          <w:u w:val="single"/>
          <w:lang w:eastAsia="zh-CN"/>
        </w:rPr>
        <w:t>RNTI and search space handling</w:t>
      </w:r>
    </w:p>
    <w:p w14:paraId="5F327116" w14:textId="25B4BB8F" w:rsidR="008B126E" w:rsidRDefault="008B126E" w:rsidP="008B126E">
      <w:pPr>
        <w:rPr>
          <w:rFonts w:eastAsia="SimSun"/>
          <w:lang w:eastAsia="zh-CN"/>
        </w:rPr>
      </w:pPr>
      <w:r>
        <w:rPr>
          <w:rFonts w:eastAsia="SimSun"/>
          <w:lang w:eastAsia="zh-CN"/>
        </w:rPr>
        <w:t xml:space="preserve">As described in Appendix, some RNTIs and PDCCH search space handling were not concluded in the last RAN1 meeting. </w:t>
      </w:r>
    </w:p>
    <w:p w14:paraId="218C2628" w14:textId="2B432DA5" w:rsidR="008B126E" w:rsidRDefault="008B126E" w:rsidP="008B126E">
      <w:pPr>
        <w:rPr>
          <w:rFonts w:eastAsia="SimSun"/>
          <w:lang w:eastAsia="zh-CN"/>
        </w:rPr>
      </w:pPr>
      <w:r>
        <w:rPr>
          <w:rFonts w:eastAsia="SimSun"/>
          <w:lang w:eastAsia="zh-CN"/>
        </w:rPr>
        <w:t>For K0 related with C-RNTI and CS-RNTI, the discussion point was whether a</w:t>
      </w:r>
      <w:r w:rsidRPr="008B126E">
        <w:rPr>
          <w:rFonts w:eastAsia="SimSun"/>
          <w:lang w:eastAsia="zh-CN"/>
        </w:rPr>
        <w:t>ny common search space associated with CORESET 0</w:t>
      </w:r>
      <w:r>
        <w:rPr>
          <w:rFonts w:eastAsia="SimSun"/>
          <w:lang w:eastAsia="zh-CN"/>
        </w:rPr>
        <w:t xml:space="preserve"> </w:t>
      </w:r>
      <w:r w:rsidR="00883664">
        <w:rPr>
          <w:rFonts w:eastAsia="SimSun"/>
          <w:lang w:eastAsia="zh-CN"/>
        </w:rPr>
        <w:t>does not apply</w:t>
      </w:r>
      <w:r>
        <w:rPr>
          <w:rFonts w:eastAsia="SimSun"/>
          <w:lang w:eastAsia="zh-CN"/>
        </w:rPr>
        <w:t xml:space="preserve"> cross slot scheduling. If </w:t>
      </w:r>
      <w:r w:rsidR="008A7FAB">
        <w:rPr>
          <w:rFonts w:eastAsia="SimSun"/>
          <w:lang w:eastAsia="zh-CN"/>
        </w:rPr>
        <w:t>a</w:t>
      </w:r>
      <w:r w:rsidR="008A7FAB" w:rsidRPr="008B126E">
        <w:rPr>
          <w:rFonts w:eastAsia="SimSun"/>
          <w:lang w:eastAsia="zh-CN"/>
        </w:rPr>
        <w:t>ny common search space associated with CORESET 0</w:t>
      </w:r>
      <w:r w:rsidR="008A7FAB">
        <w:rPr>
          <w:rFonts w:eastAsia="SimSun"/>
          <w:lang w:eastAsia="zh-CN"/>
        </w:rPr>
        <w:t xml:space="preserve"> </w:t>
      </w:r>
      <w:r w:rsidR="0044677E">
        <w:rPr>
          <w:rFonts w:eastAsia="SimSun"/>
          <w:lang w:eastAsia="zh-CN"/>
        </w:rPr>
        <w:t>only use K0=0</w:t>
      </w:r>
      <w:r w:rsidR="008A7FAB">
        <w:rPr>
          <w:rFonts w:eastAsia="SimSun"/>
          <w:lang w:eastAsia="zh-CN"/>
        </w:rPr>
        <w:t xml:space="preserve">, PDSCH buffering reduction gain of the power saving is not </w:t>
      </w:r>
      <w:r w:rsidR="0044677E">
        <w:rPr>
          <w:rFonts w:eastAsia="SimSun"/>
          <w:lang w:eastAsia="zh-CN"/>
        </w:rPr>
        <w:t>achievable</w:t>
      </w:r>
      <w:r w:rsidR="008A7FAB">
        <w:rPr>
          <w:rFonts w:eastAsia="SimSun"/>
          <w:lang w:eastAsia="zh-CN"/>
        </w:rPr>
        <w:t xml:space="preserve"> in almost all slots if UE receives</w:t>
      </w:r>
      <w:r w:rsidR="0044677E">
        <w:rPr>
          <w:rFonts w:eastAsia="SimSun"/>
          <w:lang w:eastAsia="zh-CN"/>
        </w:rPr>
        <w:t xml:space="preserve"> PDCCH in</w:t>
      </w:r>
      <w:r w:rsidR="008A7FAB">
        <w:rPr>
          <w:rFonts w:eastAsia="SimSun"/>
          <w:lang w:eastAsia="zh-CN"/>
        </w:rPr>
        <w:t xml:space="preserve"> CORESET 0. </w:t>
      </w:r>
      <w:r w:rsidR="004A3907">
        <w:rPr>
          <w:rFonts w:eastAsia="SimSun"/>
          <w:lang w:eastAsia="zh-CN"/>
        </w:rPr>
        <w:t>As the</w:t>
      </w:r>
      <w:r w:rsidR="0044677E">
        <w:rPr>
          <w:rFonts w:eastAsia="SimSun"/>
          <w:lang w:eastAsia="zh-CN"/>
        </w:rPr>
        <w:t>re is no</w:t>
      </w:r>
      <w:r w:rsidR="004A3907">
        <w:rPr>
          <w:rFonts w:eastAsia="SimSun"/>
          <w:lang w:eastAsia="zh-CN"/>
        </w:rPr>
        <w:t xml:space="preserve"> PDSCH buffering reduction gain  by the reception of SI/RA/TC/P-RNTI, the merit of applying C-RNTI and CS-RNTI are not obvious. W</w:t>
      </w:r>
      <w:r w:rsidR="008A7FAB">
        <w:rPr>
          <w:rFonts w:eastAsia="SimSun"/>
          <w:lang w:eastAsia="zh-CN"/>
        </w:rPr>
        <w:t>hen PDSCH buffering reduction gain is intended to obtain</w:t>
      </w:r>
      <w:r w:rsidR="0044677E">
        <w:rPr>
          <w:rFonts w:eastAsia="SimSun"/>
          <w:lang w:eastAsia="zh-CN"/>
        </w:rPr>
        <w:t xml:space="preserve"> from cross-slot scheduling</w:t>
      </w:r>
      <w:r w:rsidR="008A7FAB">
        <w:rPr>
          <w:rFonts w:eastAsia="SimSun"/>
          <w:lang w:eastAsia="zh-CN"/>
        </w:rPr>
        <w:t xml:space="preserve">, </w:t>
      </w:r>
      <w:r w:rsidR="0044677E">
        <w:rPr>
          <w:rFonts w:eastAsia="SimSun"/>
          <w:lang w:eastAsia="zh-CN"/>
        </w:rPr>
        <w:t xml:space="preserve">control resources </w:t>
      </w:r>
      <w:r w:rsidR="008A7FAB">
        <w:rPr>
          <w:rFonts w:eastAsia="SimSun"/>
          <w:lang w:eastAsia="zh-CN"/>
        </w:rPr>
        <w:t xml:space="preserve">other than CORESET 0 can be configured for the UE as </w:t>
      </w:r>
      <w:r w:rsidR="004A3907">
        <w:rPr>
          <w:rFonts w:eastAsia="SimSun"/>
          <w:lang w:eastAsia="zh-CN"/>
        </w:rPr>
        <w:t xml:space="preserve">the </w:t>
      </w:r>
      <w:r w:rsidR="008A7FAB">
        <w:rPr>
          <w:rFonts w:eastAsia="SimSun"/>
          <w:lang w:eastAsia="zh-CN"/>
        </w:rPr>
        <w:t xml:space="preserve">common search space. Therefore, we support </w:t>
      </w:r>
      <w:r w:rsidR="0044677E">
        <w:rPr>
          <w:rFonts w:eastAsia="SimSun"/>
          <w:lang w:eastAsia="zh-CN"/>
        </w:rPr>
        <w:t xml:space="preserve">that </w:t>
      </w:r>
      <w:r w:rsidR="008A7FAB">
        <w:rPr>
          <w:rFonts w:eastAsia="SimSun"/>
          <w:lang w:eastAsia="zh-CN"/>
        </w:rPr>
        <w:t>a</w:t>
      </w:r>
      <w:r w:rsidR="008A7FAB" w:rsidRPr="008B126E">
        <w:rPr>
          <w:rFonts w:eastAsia="SimSun"/>
          <w:lang w:eastAsia="zh-CN"/>
        </w:rPr>
        <w:t>ny common search space associated with CORESET 0</w:t>
      </w:r>
      <w:r w:rsidR="008A7FAB">
        <w:rPr>
          <w:rFonts w:eastAsia="SimSun"/>
          <w:lang w:eastAsia="zh-CN"/>
        </w:rPr>
        <w:t xml:space="preserve"> </w:t>
      </w:r>
      <w:r w:rsidR="00883664">
        <w:rPr>
          <w:rFonts w:eastAsia="SimSun"/>
          <w:lang w:eastAsia="zh-CN"/>
        </w:rPr>
        <w:t>does not apply</w:t>
      </w:r>
      <w:r w:rsidR="008A7FAB">
        <w:rPr>
          <w:rFonts w:eastAsia="SimSun"/>
          <w:lang w:eastAsia="zh-CN"/>
        </w:rPr>
        <w:t xml:space="preserve"> cross slot scheduling.</w:t>
      </w:r>
    </w:p>
    <w:p w14:paraId="1758A52A" w14:textId="2E6BFD57" w:rsidR="008A7FAB" w:rsidRDefault="008A7FAB" w:rsidP="008B126E">
      <w:pPr>
        <w:rPr>
          <w:rFonts w:eastAsia="SimSun"/>
          <w:lang w:eastAsia="zh-CN"/>
        </w:rPr>
      </w:pPr>
      <w:r>
        <w:rPr>
          <w:rFonts w:eastAsia="SimSun"/>
          <w:lang w:eastAsia="zh-CN"/>
        </w:rPr>
        <w:t xml:space="preserve">For K0 related with MCS-C-RNTI, when increased latency caused by cross slot scheduling is </w:t>
      </w:r>
      <w:r w:rsidR="0044677E">
        <w:rPr>
          <w:rFonts w:eastAsia="SimSun"/>
          <w:lang w:eastAsia="zh-CN"/>
        </w:rPr>
        <w:t>problematic</w:t>
      </w:r>
      <w:r>
        <w:rPr>
          <w:rFonts w:eastAsia="SimSun"/>
          <w:lang w:eastAsia="zh-CN"/>
        </w:rPr>
        <w:t xml:space="preserve"> for URLLC, cross slot scheduling function itself would not be applied. For relatively relaxed latency operation of URLLC, to adopt cross slot scheduling function with reduced power consumption has the merit. Therefore, our view is MCS-C-RNTI can apply cross slot scheduling. </w:t>
      </w:r>
    </w:p>
    <w:p w14:paraId="53A8BA64" w14:textId="77808E69" w:rsidR="008A7FAB" w:rsidRDefault="008A7FAB" w:rsidP="008B126E">
      <w:pPr>
        <w:rPr>
          <w:color w:val="000000"/>
        </w:rPr>
      </w:pPr>
      <w:r>
        <w:rPr>
          <w:rFonts w:eastAsia="SimSun"/>
          <w:lang w:eastAsia="zh-CN"/>
        </w:rPr>
        <w:t xml:space="preserve">For </w:t>
      </w:r>
      <w:r w:rsidR="00C52383">
        <w:rPr>
          <w:rFonts w:eastAsia="SimSun"/>
          <w:lang w:eastAsia="zh-CN"/>
        </w:rPr>
        <w:t xml:space="preserve">K2 related with </w:t>
      </w:r>
      <w:r w:rsidRPr="00CE0BE5">
        <w:rPr>
          <w:color w:val="000000"/>
        </w:rPr>
        <w:t>PUSCH scheduled by MAC RAR as described in subclause 8.2 of TS 38.213</w:t>
      </w:r>
      <w:r>
        <w:rPr>
          <w:color w:val="000000"/>
        </w:rPr>
        <w:t xml:space="preserve">, gNB does not know UE ID until UE receives RNTI during RRC_CONNECTED. Therefore, common behaviour among UEs in the cell is required. Cross slot operation is per UE handling. Therefore, cross slot scheduling should not be applied for </w:t>
      </w:r>
      <w:r w:rsidRPr="00CE0BE5">
        <w:rPr>
          <w:color w:val="000000"/>
        </w:rPr>
        <w:t>PUSCH scheduled by MAC RAR as described in subclause 8.2 of TS 38.213</w:t>
      </w:r>
      <w:r>
        <w:rPr>
          <w:color w:val="000000"/>
        </w:rPr>
        <w:t>.</w:t>
      </w:r>
    </w:p>
    <w:p w14:paraId="56E1A036" w14:textId="24F1EF86" w:rsidR="00C52383" w:rsidRDefault="00C52383" w:rsidP="008B126E">
      <w:pPr>
        <w:rPr>
          <w:color w:val="000000"/>
          <w:lang w:eastAsia="ja-JP"/>
        </w:rPr>
      </w:pPr>
      <w:r>
        <w:rPr>
          <w:rFonts w:hint="eastAsia"/>
          <w:color w:val="000000"/>
          <w:lang w:eastAsia="ja-JP"/>
        </w:rPr>
        <w:t xml:space="preserve">For </w:t>
      </w:r>
      <w:r>
        <w:rPr>
          <w:color w:val="000000"/>
          <w:lang w:eastAsia="ja-JP"/>
        </w:rPr>
        <w:t xml:space="preserve">K2 related with TC-RNTI, it is used before the first RRC dedicated configuration is applied. Therefore, cross slot scheduling function should not be applied. </w:t>
      </w:r>
    </w:p>
    <w:p w14:paraId="707EAABD" w14:textId="0E31D214" w:rsidR="00C52383" w:rsidRDefault="00C52383" w:rsidP="008B126E">
      <w:pPr>
        <w:rPr>
          <w:color w:val="000000"/>
          <w:lang w:eastAsia="ja-JP"/>
        </w:rPr>
      </w:pPr>
      <w:r>
        <w:rPr>
          <w:color w:val="000000"/>
          <w:lang w:eastAsia="ja-JP"/>
        </w:rPr>
        <w:t xml:space="preserve">For K2 related with C-RNTI and CS-RNTI, the same discussion with K0 is applied. </w:t>
      </w:r>
    </w:p>
    <w:p w14:paraId="28550177" w14:textId="2AF25644" w:rsidR="00C52383" w:rsidRDefault="00C52383" w:rsidP="008B126E">
      <w:pPr>
        <w:rPr>
          <w:color w:val="000000"/>
          <w:lang w:eastAsia="ja-JP"/>
        </w:rPr>
      </w:pPr>
      <w:r>
        <w:rPr>
          <w:color w:val="000000"/>
          <w:lang w:eastAsia="ja-JP"/>
        </w:rPr>
        <w:t xml:space="preserve">For K2 related with MCS-C-RNTI, the same discussion with K0 is applied. </w:t>
      </w:r>
    </w:p>
    <w:p w14:paraId="2DE42879" w14:textId="1A65B4E2" w:rsidR="00C52383" w:rsidRDefault="00C52383" w:rsidP="008B126E">
      <w:pPr>
        <w:rPr>
          <w:color w:val="000000"/>
          <w:lang w:eastAsia="ja-JP"/>
        </w:rPr>
      </w:pPr>
      <w:r>
        <w:rPr>
          <w:color w:val="000000"/>
          <w:lang w:eastAsia="ja-JP"/>
        </w:rPr>
        <w:t xml:space="preserve">Based on the discussion, we propose following. </w:t>
      </w:r>
    </w:p>
    <w:p w14:paraId="1E679F44" w14:textId="0FABC469" w:rsidR="00C52383" w:rsidRDefault="00C52383" w:rsidP="00C52383">
      <w:pPr>
        <w:rPr>
          <w:rFonts w:eastAsia="SimSun"/>
          <w:b/>
          <w:lang w:eastAsia="zh-CN"/>
        </w:rPr>
      </w:pPr>
      <w:r w:rsidRPr="00DE6E96">
        <w:rPr>
          <w:rFonts w:eastAsia="SimSun"/>
          <w:b/>
          <w:lang w:eastAsia="zh-CN"/>
        </w:rPr>
        <w:t xml:space="preserve">Proposal </w:t>
      </w:r>
      <w:r w:rsidR="00E53F39">
        <w:rPr>
          <w:rFonts w:eastAsia="SimSun"/>
          <w:b/>
          <w:lang w:eastAsia="zh-CN"/>
        </w:rPr>
        <w:t>5</w:t>
      </w:r>
      <w:r w:rsidRPr="00DE6E96">
        <w:rPr>
          <w:rFonts w:eastAsia="SimSun"/>
          <w:b/>
          <w:lang w:eastAsia="zh-CN"/>
        </w:rPr>
        <w:t xml:space="preserve">: </w:t>
      </w:r>
      <w:r>
        <w:rPr>
          <w:rFonts w:eastAsia="SimSun"/>
          <w:b/>
          <w:lang w:eastAsia="zh-CN"/>
        </w:rPr>
        <w:t>Cross slot scheduling function is not applied to following case</w:t>
      </w:r>
      <w:r w:rsidRPr="00DE6E96">
        <w:rPr>
          <w:rFonts w:eastAsia="SimSun"/>
          <w:b/>
          <w:lang w:eastAsia="zh-CN"/>
        </w:rPr>
        <w:t>.</w:t>
      </w:r>
    </w:p>
    <w:p w14:paraId="00DC8448" w14:textId="790A6058" w:rsidR="00C52383" w:rsidRDefault="00C52383" w:rsidP="00C52383">
      <w:pPr>
        <w:pStyle w:val="ListParagraph"/>
        <w:numPr>
          <w:ilvl w:val="0"/>
          <w:numId w:val="254"/>
        </w:numPr>
        <w:spacing w:after="0"/>
        <w:contextualSpacing w:val="0"/>
        <w:rPr>
          <w:b/>
        </w:rPr>
      </w:pPr>
      <w:r>
        <w:rPr>
          <w:b/>
        </w:rPr>
        <w:lastRenderedPageBreak/>
        <w:t xml:space="preserve">Regarding to K0 and K2, </w:t>
      </w:r>
      <w:r w:rsidRPr="00C52383">
        <w:rPr>
          <w:b/>
        </w:rPr>
        <w:t>C-RNTI and CS-RNTI</w:t>
      </w:r>
      <w:r>
        <w:rPr>
          <w:b/>
        </w:rPr>
        <w:t xml:space="preserve"> with </w:t>
      </w:r>
      <w:r w:rsidRPr="00C52383">
        <w:rPr>
          <w:b/>
        </w:rPr>
        <w:t>any common search space associated with CORESET 0</w:t>
      </w:r>
    </w:p>
    <w:p w14:paraId="472860B8" w14:textId="77777777" w:rsidR="000101D3" w:rsidRDefault="00C52383" w:rsidP="00C52383">
      <w:pPr>
        <w:pStyle w:val="ListParagraph"/>
        <w:numPr>
          <w:ilvl w:val="0"/>
          <w:numId w:val="254"/>
        </w:numPr>
        <w:spacing w:after="0"/>
        <w:contextualSpacing w:val="0"/>
        <w:rPr>
          <w:b/>
        </w:rPr>
      </w:pPr>
      <w:r>
        <w:rPr>
          <w:b/>
        </w:rPr>
        <w:t xml:space="preserve">Regarding to K2, </w:t>
      </w:r>
      <w:r w:rsidRPr="00C52383">
        <w:rPr>
          <w:b/>
        </w:rPr>
        <w:t>PUSCH scheduled by MAC RAR as described in subclause 8.2 of TS 38.213</w:t>
      </w:r>
      <w:r>
        <w:rPr>
          <w:b/>
        </w:rPr>
        <w:t xml:space="preserve"> </w:t>
      </w:r>
    </w:p>
    <w:p w14:paraId="472DCA74" w14:textId="7210A120" w:rsidR="00C52383" w:rsidRPr="008D58A8" w:rsidRDefault="000101D3" w:rsidP="00C52383">
      <w:pPr>
        <w:pStyle w:val="ListParagraph"/>
        <w:numPr>
          <w:ilvl w:val="0"/>
          <w:numId w:val="254"/>
        </w:numPr>
        <w:spacing w:after="0"/>
        <w:contextualSpacing w:val="0"/>
        <w:rPr>
          <w:b/>
        </w:rPr>
      </w:pPr>
      <w:r>
        <w:rPr>
          <w:b/>
        </w:rPr>
        <w:t>Regarding to K2, TC-RNTI</w:t>
      </w:r>
    </w:p>
    <w:p w14:paraId="3CA1D32E" w14:textId="31AF8B06" w:rsidR="008B126E" w:rsidRPr="00425857" w:rsidRDefault="008B126E" w:rsidP="000E7739">
      <w:pPr>
        <w:rPr>
          <w:b/>
        </w:rPr>
      </w:pPr>
    </w:p>
    <w:p w14:paraId="097F42D9" w14:textId="77777777" w:rsidR="00062D49" w:rsidRDefault="00062D49" w:rsidP="000E7739">
      <w:pPr>
        <w:pStyle w:val="Heading1"/>
        <w:ind w:left="0" w:firstLine="0"/>
      </w:pPr>
      <w:r>
        <w:rPr>
          <w:rFonts w:hint="eastAsia"/>
        </w:rPr>
        <w:t>Conclusions</w:t>
      </w:r>
    </w:p>
    <w:p w14:paraId="72343DC5" w14:textId="6A54F98F" w:rsidR="00062D49" w:rsidRDefault="00062D49" w:rsidP="000E7739">
      <w:pPr>
        <w:rPr>
          <w:lang w:val="en-US" w:eastAsia="ja-JP"/>
        </w:rPr>
      </w:pPr>
      <w:r>
        <w:rPr>
          <w:lang w:val="en-US" w:eastAsia="ja-JP"/>
        </w:rPr>
        <w:t xml:space="preserve">This contribution provide </w:t>
      </w:r>
      <w:r w:rsidR="002D6766">
        <w:rPr>
          <w:lang w:val="en-US" w:eastAsia="ja-JP"/>
        </w:rPr>
        <w:t xml:space="preserve">our considerations on the </w:t>
      </w:r>
      <w:r w:rsidR="00B73B77">
        <w:rPr>
          <w:lang w:val="en-US" w:eastAsia="ja-JP"/>
        </w:rPr>
        <w:t xml:space="preserve">cross-slot </w:t>
      </w:r>
      <w:r w:rsidR="002D6766">
        <w:rPr>
          <w:lang w:val="en-US" w:eastAsia="ja-JP"/>
        </w:rPr>
        <w:t>procedure</w:t>
      </w:r>
      <w:r w:rsidR="00B73B77">
        <w:rPr>
          <w:lang w:val="en-US" w:eastAsia="ja-JP"/>
        </w:rPr>
        <w:t>s for power saving</w:t>
      </w:r>
      <w:r w:rsidR="002D6766">
        <w:rPr>
          <w:lang w:val="en-US" w:eastAsia="ja-JP"/>
        </w:rPr>
        <w:t>. The follow conclusions are summarized below:</w:t>
      </w:r>
    </w:p>
    <w:p w14:paraId="0CF381E7" w14:textId="7932B47D" w:rsidR="00A856CD" w:rsidRDefault="00BF0B61" w:rsidP="008C0A8E">
      <w:pPr>
        <w:rPr>
          <w:rFonts w:eastAsia="SimSun"/>
          <w:b/>
          <w:lang w:val="en-US" w:eastAsia="zh-CN"/>
        </w:rPr>
      </w:pPr>
      <w:r w:rsidRPr="00D7781C">
        <w:rPr>
          <w:rFonts w:eastAsia="SimSun"/>
          <w:b/>
          <w:lang w:val="en-US" w:eastAsia="zh-CN"/>
        </w:rPr>
        <w:t>Observation 1:  Cross-slot scheduling performance gain can be obtained from traffic adaptation by introducing assumption that UE may go to micro-sleep during the gap between data channel and control channel.</w:t>
      </w:r>
    </w:p>
    <w:p w14:paraId="4B76210D" w14:textId="77777777" w:rsidR="00BF0B61" w:rsidRDefault="00BF0B61" w:rsidP="00BF0B61">
      <w:pPr>
        <w:rPr>
          <w:b/>
        </w:rPr>
      </w:pPr>
      <w:r w:rsidRPr="004F4B42">
        <w:rPr>
          <w:b/>
        </w:rPr>
        <w:t xml:space="preserve">Observation </w:t>
      </w:r>
      <w:r>
        <w:rPr>
          <w:b/>
        </w:rPr>
        <w:t>2</w:t>
      </w:r>
      <w:r w:rsidRPr="004F4B42">
        <w:rPr>
          <w:b/>
        </w:rPr>
        <w:t>: By proper implementation</w:t>
      </w:r>
      <w:r>
        <w:rPr>
          <w:b/>
        </w:rPr>
        <w:t xml:space="preserve"> of gNB scheduler</w:t>
      </w:r>
      <w:r w:rsidRPr="004F4B42">
        <w:rPr>
          <w:b/>
        </w:rPr>
        <w:t>, the data transmission can be aggregated into smaller number of slot</w:t>
      </w:r>
      <w:r>
        <w:rPr>
          <w:b/>
        </w:rPr>
        <w:t>s by cross-slot scheduling</w:t>
      </w:r>
      <w:r w:rsidRPr="004F4B42">
        <w:rPr>
          <w:b/>
        </w:rPr>
        <w:t>, which is the</w:t>
      </w:r>
      <w:r>
        <w:rPr>
          <w:b/>
        </w:rPr>
        <w:t xml:space="preserve"> other</w:t>
      </w:r>
      <w:r w:rsidRPr="004F4B42">
        <w:rPr>
          <w:b/>
        </w:rPr>
        <w:t xml:space="preserve"> main </w:t>
      </w:r>
      <w:r>
        <w:rPr>
          <w:b/>
        </w:rPr>
        <w:t>enabler</w:t>
      </w:r>
      <w:r w:rsidRPr="004F4B42">
        <w:rPr>
          <w:b/>
        </w:rPr>
        <w:t xml:space="preserve"> of saving power consumption.</w:t>
      </w:r>
      <w:r>
        <w:rPr>
          <w:b/>
        </w:rPr>
        <w:t xml:space="preserve"> </w:t>
      </w:r>
    </w:p>
    <w:p w14:paraId="366610CE" w14:textId="77777777" w:rsidR="00BF0B61" w:rsidRPr="001A37D9" w:rsidRDefault="00BF0B61" w:rsidP="00BF0B61">
      <w:pPr>
        <w:rPr>
          <w:b/>
          <w:lang w:val="en-US"/>
        </w:rPr>
      </w:pPr>
      <w:r w:rsidRPr="001A37D9">
        <w:rPr>
          <w:b/>
        </w:rPr>
        <w:t xml:space="preserve">Proposal 1: </w:t>
      </w:r>
      <w:r>
        <w:rPr>
          <w:b/>
        </w:rPr>
        <w:t>During the period of cross-slot scheduling i.e. PDCCH to the assigned PDSCH, whether to skip PDCCH monitoring or not in this period should be allowed to control separately from PDSCH assignment possibility</w:t>
      </w:r>
      <w:r w:rsidRPr="001A37D9">
        <w:rPr>
          <w:b/>
        </w:rPr>
        <w:t xml:space="preserve">. </w:t>
      </w:r>
    </w:p>
    <w:p w14:paraId="76459249" w14:textId="77777777" w:rsidR="00BF0B61" w:rsidRPr="00A856CD" w:rsidRDefault="00BF0B61" w:rsidP="00BF0B61">
      <w:pPr>
        <w:rPr>
          <w:rFonts w:eastAsia="SimSun"/>
          <w:b/>
          <w:lang w:eastAsia="zh-CN"/>
        </w:rPr>
      </w:pPr>
      <w:r w:rsidRPr="00A856CD">
        <w:rPr>
          <w:rFonts w:eastAsia="SimSun"/>
          <w:b/>
          <w:lang w:eastAsia="zh-CN"/>
        </w:rPr>
        <w:t>Proposal 2: The PoSS could be considered to indicate whether to skip PDCCH monitoring during gap of cross-slot scheduling.</w:t>
      </w:r>
    </w:p>
    <w:p w14:paraId="26888CAE" w14:textId="77777777" w:rsidR="00BF0B61" w:rsidRPr="00A856CD" w:rsidRDefault="00BF0B61" w:rsidP="00BF0B61">
      <w:pPr>
        <w:rPr>
          <w:rFonts w:eastAsia="SimSun"/>
          <w:b/>
          <w:lang w:eastAsia="zh-CN"/>
        </w:rPr>
      </w:pPr>
      <w:r>
        <w:rPr>
          <w:rFonts w:eastAsia="SimSun"/>
          <w:b/>
          <w:lang w:eastAsia="zh-CN"/>
        </w:rPr>
        <w:t>Proposal 3</w:t>
      </w:r>
      <w:r w:rsidRPr="00A856CD">
        <w:rPr>
          <w:rFonts w:eastAsia="SimSun"/>
          <w:b/>
          <w:lang w:eastAsia="zh-CN"/>
        </w:rPr>
        <w:t xml:space="preserve">: </w:t>
      </w:r>
      <w:r>
        <w:rPr>
          <w:rFonts w:eastAsia="SimSun"/>
          <w:b/>
          <w:lang w:eastAsia="zh-CN"/>
        </w:rPr>
        <w:t>For single BWP operation case, it is proposed to take Alt 2: i</w:t>
      </w:r>
      <w:r w:rsidRPr="001E2643">
        <w:rPr>
          <w:rFonts w:eastAsia="SimSun"/>
          <w:b/>
          <w:lang w:eastAsia="zh-CN"/>
        </w:rPr>
        <w:t>ndication of one active table from multiple configured TDRA tables</w:t>
      </w:r>
      <w:r w:rsidRPr="00A856CD">
        <w:rPr>
          <w:rFonts w:eastAsia="SimSun"/>
          <w:b/>
          <w:lang w:eastAsia="zh-CN"/>
        </w:rPr>
        <w:t>.</w:t>
      </w:r>
    </w:p>
    <w:p w14:paraId="40359476" w14:textId="77777777" w:rsidR="00BF0B61" w:rsidRPr="00DE6E96" w:rsidRDefault="00BF0B61" w:rsidP="00BF0B61">
      <w:pPr>
        <w:rPr>
          <w:rFonts w:eastAsia="SimSun"/>
          <w:b/>
          <w:lang w:eastAsia="zh-CN"/>
        </w:rPr>
      </w:pPr>
      <w:r w:rsidRPr="00DE6E96">
        <w:rPr>
          <w:rFonts w:eastAsia="SimSun"/>
          <w:b/>
          <w:lang w:eastAsia="zh-CN"/>
        </w:rPr>
        <w:t xml:space="preserve">Proposal </w:t>
      </w:r>
      <w:r>
        <w:rPr>
          <w:rFonts w:eastAsia="SimSun"/>
          <w:b/>
          <w:lang w:eastAsia="zh-CN"/>
        </w:rPr>
        <w:t>4</w:t>
      </w:r>
      <w:r w:rsidRPr="00DE6E96">
        <w:rPr>
          <w:rFonts w:eastAsia="SimSun"/>
          <w:b/>
          <w:lang w:eastAsia="zh-CN"/>
        </w:rPr>
        <w:t>: During TDRA table adaptation, it needs to be studied on how to deal with the scheduling flexibility and error case.</w:t>
      </w:r>
    </w:p>
    <w:p w14:paraId="29654715" w14:textId="77777777" w:rsidR="00BF0B61" w:rsidRDefault="00BF0B61" w:rsidP="00BF0B61">
      <w:pPr>
        <w:rPr>
          <w:rFonts w:eastAsia="SimSun"/>
          <w:b/>
          <w:lang w:eastAsia="zh-CN"/>
        </w:rPr>
      </w:pPr>
      <w:r w:rsidRPr="00DE6E96">
        <w:rPr>
          <w:rFonts w:eastAsia="SimSun"/>
          <w:b/>
          <w:lang w:eastAsia="zh-CN"/>
        </w:rPr>
        <w:t xml:space="preserve">Proposal </w:t>
      </w:r>
      <w:r>
        <w:rPr>
          <w:rFonts w:eastAsia="SimSun"/>
          <w:b/>
          <w:lang w:eastAsia="zh-CN"/>
        </w:rPr>
        <w:t>5</w:t>
      </w:r>
      <w:r w:rsidRPr="00DE6E96">
        <w:rPr>
          <w:rFonts w:eastAsia="SimSun"/>
          <w:b/>
          <w:lang w:eastAsia="zh-CN"/>
        </w:rPr>
        <w:t xml:space="preserve">: </w:t>
      </w:r>
      <w:r>
        <w:rPr>
          <w:rFonts w:eastAsia="SimSun"/>
          <w:b/>
          <w:lang w:eastAsia="zh-CN"/>
        </w:rPr>
        <w:t>Cross slot scheduling function is not applied to following case</w:t>
      </w:r>
      <w:r w:rsidRPr="00DE6E96">
        <w:rPr>
          <w:rFonts w:eastAsia="SimSun"/>
          <w:b/>
          <w:lang w:eastAsia="zh-CN"/>
        </w:rPr>
        <w:t>.</w:t>
      </w:r>
    </w:p>
    <w:p w14:paraId="2D64BF15" w14:textId="77777777" w:rsidR="00BF0B61" w:rsidRDefault="00BF0B61" w:rsidP="00BF0B61">
      <w:pPr>
        <w:pStyle w:val="ListParagraph"/>
        <w:numPr>
          <w:ilvl w:val="0"/>
          <w:numId w:val="254"/>
        </w:numPr>
        <w:spacing w:after="0"/>
        <w:contextualSpacing w:val="0"/>
        <w:rPr>
          <w:b/>
        </w:rPr>
      </w:pPr>
      <w:r>
        <w:rPr>
          <w:b/>
        </w:rPr>
        <w:t xml:space="preserve">Regarding to K0 and K2, </w:t>
      </w:r>
      <w:r w:rsidRPr="00C52383">
        <w:rPr>
          <w:b/>
        </w:rPr>
        <w:t>C-RNTI and CS-RNTI</w:t>
      </w:r>
      <w:r>
        <w:rPr>
          <w:b/>
        </w:rPr>
        <w:t xml:space="preserve"> with </w:t>
      </w:r>
      <w:r w:rsidRPr="00C52383">
        <w:rPr>
          <w:b/>
        </w:rPr>
        <w:t>any common search space associated with CORESET 0</w:t>
      </w:r>
    </w:p>
    <w:p w14:paraId="0D0342ED" w14:textId="77777777" w:rsidR="00BF0B61" w:rsidRDefault="00BF0B61" w:rsidP="00BF0B61">
      <w:pPr>
        <w:pStyle w:val="ListParagraph"/>
        <w:numPr>
          <w:ilvl w:val="0"/>
          <w:numId w:val="254"/>
        </w:numPr>
        <w:spacing w:after="0"/>
        <w:contextualSpacing w:val="0"/>
        <w:rPr>
          <w:b/>
        </w:rPr>
      </w:pPr>
      <w:r>
        <w:rPr>
          <w:b/>
        </w:rPr>
        <w:t xml:space="preserve">Regarding to K2, </w:t>
      </w:r>
      <w:r w:rsidRPr="00C52383">
        <w:rPr>
          <w:b/>
        </w:rPr>
        <w:t>PUSCH scheduled by MAC RAR as described in subclause 8.2 of TS 38.213</w:t>
      </w:r>
      <w:r>
        <w:rPr>
          <w:b/>
        </w:rPr>
        <w:t xml:space="preserve"> </w:t>
      </w:r>
    </w:p>
    <w:p w14:paraId="512B3DB6" w14:textId="77777777" w:rsidR="00BF0B61" w:rsidRPr="008D58A8" w:rsidRDefault="00BF0B61" w:rsidP="00BF0B61">
      <w:pPr>
        <w:pStyle w:val="ListParagraph"/>
        <w:numPr>
          <w:ilvl w:val="0"/>
          <w:numId w:val="254"/>
        </w:numPr>
        <w:spacing w:after="0"/>
        <w:contextualSpacing w:val="0"/>
        <w:rPr>
          <w:b/>
        </w:rPr>
      </w:pPr>
      <w:r>
        <w:rPr>
          <w:b/>
        </w:rPr>
        <w:t>Regarding to K2, TC-RNTI</w:t>
      </w:r>
    </w:p>
    <w:p w14:paraId="2943278E" w14:textId="77777777" w:rsidR="00BF0B61" w:rsidRPr="00BF0B61" w:rsidRDefault="00BF0B61" w:rsidP="008C0A8E">
      <w:pPr>
        <w:rPr>
          <w:b/>
          <w:lang w:eastAsia="ja-JP"/>
        </w:rPr>
      </w:pPr>
      <w:bookmarkStart w:id="0" w:name="_GoBack"/>
      <w:bookmarkEnd w:id="0"/>
    </w:p>
    <w:p w14:paraId="3549B4EB" w14:textId="77777777" w:rsidR="002E2FAF" w:rsidRDefault="002E2FAF" w:rsidP="000E7739">
      <w:pPr>
        <w:pStyle w:val="Heading1"/>
        <w:rPr>
          <w:rFonts w:cs="Arial"/>
        </w:rPr>
      </w:pPr>
      <w:r>
        <w:rPr>
          <w:rFonts w:cs="Arial" w:hint="eastAsia"/>
        </w:rPr>
        <w:t>References</w:t>
      </w:r>
    </w:p>
    <w:p w14:paraId="355E19E3" w14:textId="5FC442F4" w:rsidR="00C24683" w:rsidRDefault="006051C6" w:rsidP="009B2291">
      <w:pPr>
        <w:rPr>
          <w:rFonts w:eastAsia="SimSun"/>
          <w:lang w:val="en-US" w:eastAsia="zh-CN"/>
        </w:rPr>
      </w:pPr>
      <w:r>
        <w:rPr>
          <w:rFonts w:eastAsia="SimSun"/>
          <w:lang w:val="en-US" w:eastAsia="zh-CN"/>
        </w:rPr>
        <w:t>[</w:t>
      </w:r>
      <w:r w:rsidR="00640086">
        <w:rPr>
          <w:rFonts w:eastAsia="SimSun"/>
          <w:lang w:val="en-US" w:eastAsia="zh-CN"/>
        </w:rPr>
        <w:t>1</w:t>
      </w:r>
      <w:r>
        <w:rPr>
          <w:rFonts w:eastAsia="SimSun"/>
          <w:lang w:val="en-US" w:eastAsia="zh-CN"/>
        </w:rPr>
        <w:t xml:space="preserve">] </w:t>
      </w:r>
      <w:r w:rsidR="00B6268E" w:rsidRPr="009B2291">
        <w:rPr>
          <w:rFonts w:eastAsia="SimSun"/>
          <w:lang w:val="en-US" w:eastAsia="zh-CN"/>
        </w:rPr>
        <w:t>RP-190727</w:t>
      </w:r>
      <w:r w:rsidR="00B6268E">
        <w:rPr>
          <w:rFonts w:eastAsia="SimSun"/>
          <w:lang w:val="en-US" w:eastAsia="zh-CN"/>
        </w:rPr>
        <w:t xml:space="preserve">, </w:t>
      </w:r>
      <w:r w:rsidR="00B6268E" w:rsidRPr="006B6081">
        <w:rPr>
          <w:rFonts w:eastAsia="SimSun"/>
          <w:lang w:val="en-US" w:eastAsia="zh-CN"/>
        </w:rPr>
        <w:t>New WID: UE Power Saving in NR</w:t>
      </w:r>
      <w:r w:rsidR="00B6268E">
        <w:rPr>
          <w:rFonts w:eastAsia="SimSun"/>
          <w:lang w:val="en-US" w:eastAsia="zh-CN"/>
        </w:rPr>
        <w:t xml:space="preserve">, </w:t>
      </w:r>
      <w:r w:rsidR="00B6268E" w:rsidRPr="006B6081">
        <w:rPr>
          <w:rFonts w:eastAsia="SimSun"/>
          <w:lang w:val="en-US" w:eastAsia="zh-CN"/>
        </w:rPr>
        <w:t>3GPP TSG RAN Meetings #83</w:t>
      </w:r>
    </w:p>
    <w:p w14:paraId="07497A23" w14:textId="015D55ED" w:rsidR="008D58A8" w:rsidRDefault="008D58A8" w:rsidP="009B2291">
      <w:pPr>
        <w:rPr>
          <w:rFonts w:eastAsia="SimSun"/>
          <w:lang w:val="en-US" w:eastAsia="zh-CN"/>
        </w:rPr>
      </w:pPr>
      <w:r>
        <w:rPr>
          <w:rFonts w:eastAsia="SimSun"/>
          <w:lang w:val="en-US" w:eastAsia="zh-CN"/>
        </w:rPr>
        <w:t>[2] 3GPP RAN1#96bis Chairman’s notes</w:t>
      </w:r>
    </w:p>
    <w:p w14:paraId="0B5530C3" w14:textId="3F411DA8" w:rsidR="004075F1" w:rsidRDefault="004075F1" w:rsidP="009B2291">
      <w:pPr>
        <w:rPr>
          <w:rFonts w:eastAsia="SimSun"/>
          <w:lang w:val="en-US" w:eastAsia="zh-CN"/>
        </w:rPr>
      </w:pPr>
      <w:r>
        <w:rPr>
          <w:rFonts w:eastAsia="SimSun"/>
          <w:lang w:val="en-US" w:eastAsia="zh-CN"/>
        </w:rPr>
        <w:t>[2]</w:t>
      </w:r>
      <w:r>
        <w:rPr>
          <w:rFonts w:eastAsia="SimSun"/>
          <w:lang w:val="en-US" w:eastAsia="zh-CN"/>
        </w:rPr>
        <w:tab/>
        <w:t>R1-</w:t>
      </w:r>
      <w:r w:rsidR="00DC608B" w:rsidRPr="00DC608B">
        <w:t xml:space="preserve"> </w:t>
      </w:r>
      <w:r w:rsidR="00DC608B">
        <w:t>1907363</w:t>
      </w:r>
      <w:r>
        <w:rPr>
          <w:rFonts w:eastAsia="SimSun"/>
          <w:lang w:val="en-US" w:eastAsia="zh-CN"/>
        </w:rPr>
        <w:t xml:space="preserve">, </w:t>
      </w:r>
      <w:r w:rsidRPr="004075F1">
        <w:rPr>
          <w:rFonts w:eastAsia="SimSun"/>
          <w:lang w:val="en-US" w:eastAsia="zh-CN"/>
        </w:rPr>
        <w:t>Discussion on</w:t>
      </w:r>
      <w:r w:rsidR="00DC608B">
        <w:rPr>
          <w:rFonts w:eastAsia="SimSun"/>
          <w:lang w:val="en-US" w:eastAsia="zh-CN"/>
        </w:rPr>
        <w:t xml:space="preserve"> </w:t>
      </w:r>
      <w:r w:rsidRPr="004075F1">
        <w:rPr>
          <w:rFonts w:eastAsia="SimSun"/>
          <w:lang w:val="en-US" w:eastAsia="zh-CN"/>
        </w:rPr>
        <w:t>PDCCH-based power saving signal/channel (PoSS)</w:t>
      </w:r>
      <w:r>
        <w:rPr>
          <w:rFonts w:eastAsia="SimSun"/>
          <w:lang w:val="en-US" w:eastAsia="zh-CN"/>
        </w:rPr>
        <w:t>, Panasonic, RAN1#97</w:t>
      </w:r>
    </w:p>
    <w:p w14:paraId="665F58A3" w14:textId="72D8542E" w:rsidR="00C24683" w:rsidRDefault="00C24683" w:rsidP="00C24683">
      <w:pPr>
        <w:rPr>
          <w:rFonts w:eastAsia="SimSun"/>
          <w:lang w:val="en-US" w:eastAsia="zh-CN"/>
        </w:rPr>
      </w:pPr>
    </w:p>
    <w:p w14:paraId="70226949" w14:textId="2236CA43" w:rsidR="00AC5F96" w:rsidRDefault="00C24683" w:rsidP="00C24683">
      <w:pPr>
        <w:pStyle w:val="Heading1"/>
        <w:rPr>
          <w:rFonts w:eastAsia="SimSun"/>
          <w:lang w:val="en-US" w:eastAsia="zh-CN"/>
        </w:rPr>
      </w:pPr>
      <w:r w:rsidRPr="00C24683">
        <w:rPr>
          <w:rFonts w:cs="Arial"/>
        </w:rPr>
        <w:t>Appendix</w:t>
      </w:r>
    </w:p>
    <w:p w14:paraId="18145F2A" w14:textId="77777777" w:rsidR="00C24683" w:rsidRPr="009B122A" w:rsidRDefault="00C24683" w:rsidP="00C24683">
      <w:r w:rsidRPr="009B122A">
        <w:rPr>
          <w:highlight w:val="green"/>
        </w:rPr>
        <w:t>Agreements</w:t>
      </w:r>
      <w:r w:rsidRPr="009B122A">
        <w:t>:</w:t>
      </w:r>
    </w:p>
    <w:p w14:paraId="6093845B" w14:textId="77777777" w:rsidR="00C24683" w:rsidRPr="009B122A" w:rsidRDefault="00C24683" w:rsidP="00C24683">
      <w:pPr>
        <w:numPr>
          <w:ilvl w:val="0"/>
          <w:numId w:val="250"/>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16497672" w14:textId="77777777" w:rsidR="00C24683" w:rsidRDefault="00C24683" w:rsidP="00C24683">
      <w:pPr>
        <w:numPr>
          <w:ilvl w:val="1"/>
          <w:numId w:val="250"/>
        </w:numPr>
        <w:spacing w:after="0"/>
        <w:rPr>
          <w:color w:val="000000"/>
          <w:lang w:val="en-US"/>
        </w:rPr>
      </w:pPr>
      <w:r w:rsidRPr="009B122A">
        <w:rPr>
          <w:color w:val="000000"/>
          <w:lang w:val="en-US"/>
        </w:rPr>
        <w:t xml:space="preserve">If all the associated trigger states do not have the higher layer parameter </w:t>
      </w:r>
      <w:r w:rsidRPr="009B122A">
        <w:rPr>
          <w:i/>
        </w:rPr>
        <w:t>qcl-Type</w:t>
      </w:r>
      <w:r w:rsidRPr="009B122A">
        <w:t xml:space="preserve"> set to</w:t>
      </w:r>
      <w:r w:rsidRPr="009B122A">
        <w:rPr>
          <w:color w:val="000000"/>
          <w:lang w:val="en-US"/>
        </w:rPr>
        <w:t xml:space="preserve"> 'QCL-TypeD' in the corresponding TCI states and the PDCCH SCS is equal to the CSI-RS SCS, specification allows the aperiodic CSI-RS triggering offset to be set to a non-zero value.</w:t>
      </w:r>
    </w:p>
    <w:p w14:paraId="1B51AFA9" w14:textId="77777777" w:rsidR="00C24683" w:rsidRDefault="00C24683" w:rsidP="00C24683">
      <w:pPr>
        <w:rPr>
          <w:color w:val="000000"/>
          <w:highlight w:val="green"/>
          <w:lang w:val="en-US"/>
        </w:rPr>
      </w:pPr>
    </w:p>
    <w:p w14:paraId="27CC9B5F" w14:textId="77777777" w:rsidR="00C24683" w:rsidRPr="007B1686" w:rsidRDefault="00C24683" w:rsidP="00C24683">
      <w:pPr>
        <w:rPr>
          <w:color w:val="000000"/>
          <w:lang w:val="en-US"/>
        </w:rPr>
      </w:pPr>
      <w:r w:rsidRPr="007B1686">
        <w:rPr>
          <w:color w:val="000000"/>
          <w:highlight w:val="green"/>
          <w:lang w:val="en-US"/>
        </w:rPr>
        <w:lastRenderedPageBreak/>
        <w:t>Agreements</w:t>
      </w:r>
      <w:r w:rsidRPr="007B1686">
        <w:rPr>
          <w:color w:val="000000"/>
          <w:lang w:val="en-US"/>
        </w:rPr>
        <w:t>:</w:t>
      </w:r>
    </w:p>
    <w:p w14:paraId="6F714F18" w14:textId="77777777" w:rsidR="00C24683" w:rsidRPr="007B1686" w:rsidRDefault="00C24683" w:rsidP="00C24683">
      <w:pPr>
        <w:numPr>
          <w:ilvl w:val="0"/>
          <w:numId w:val="251"/>
        </w:numPr>
        <w:spacing w:after="0"/>
        <w:rPr>
          <w:color w:val="000000"/>
          <w:lang w:val="en-US"/>
        </w:rPr>
      </w:pPr>
      <w:r w:rsidRPr="007B1686">
        <w:rPr>
          <w:color w:val="00000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68F445C6" w14:textId="77777777" w:rsidR="00C24683" w:rsidRPr="007B1686" w:rsidRDefault="00C24683" w:rsidP="00C24683">
      <w:pPr>
        <w:numPr>
          <w:ilvl w:val="1"/>
          <w:numId w:val="251"/>
        </w:numPr>
        <w:spacing w:after="0"/>
        <w:rPr>
          <w:color w:val="000000"/>
          <w:lang w:val="en-US"/>
        </w:rPr>
      </w:pPr>
      <w:r w:rsidRPr="007B1686">
        <w:rPr>
          <w:color w:val="000000"/>
          <w:lang w:val="en-US"/>
        </w:rPr>
        <w:t>Alt 1: MAC-CE based</w:t>
      </w:r>
    </w:p>
    <w:p w14:paraId="7E25B915" w14:textId="77777777" w:rsidR="00C24683" w:rsidRPr="007B1686" w:rsidRDefault="00C24683" w:rsidP="00C24683">
      <w:pPr>
        <w:numPr>
          <w:ilvl w:val="1"/>
          <w:numId w:val="251"/>
        </w:numPr>
        <w:spacing w:after="0"/>
        <w:rPr>
          <w:color w:val="000000"/>
          <w:lang w:val="en-US"/>
        </w:rPr>
      </w:pPr>
      <w:r w:rsidRPr="007B1686">
        <w:rPr>
          <w:color w:val="000000"/>
          <w:lang w:val="en-US"/>
        </w:rPr>
        <w:t xml:space="preserve">Alt 2: </w:t>
      </w:r>
      <w:r w:rsidRPr="007B1686">
        <w:t>L1 based</w:t>
      </w:r>
    </w:p>
    <w:p w14:paraId="083A5A03" w14:textId="77777777" w:rsidR="00C24683" w:rsidRPr="007B1686" w:rsidRDefault="00C24683" w:rsidP="00C24683">
      <w:pPr>
        <w:numPr>
          <w:ilvl w:val="0"/>
          <w:numId w:val="251"/>
        </w:numPr>
        <w:spacing w:after="0"/>
        <w:rPr>
          <w:color w:val="000000"/>
          <w:lang w:val="en-US"/>
        </w:rPr>
      </w:pPr>
      <w:r w:rsidRPr="007B1686">
        <w:rPr>
          <w:color w:val="000000"/>
          <w:lang w:val="en-US"/>
        </w:rPr>
        <w:t>FFS: How to determin</w:t>
      </w:r>
      <w:r>
        <w:rPr>
          <w:color w:val="000000"/>
          <w:lang w:val="en-US"/>
        </w:rPr>
        <w:t>e</w:t>
      </w:r>
      <w:r w:rsidRPr="007B1686">
        <w:rPr>
          <w:color w:val="000000"/>
          <w:lang w:val="en-US"/>
        </w:rPr>
        <w:t xml:space="preserve"> the minimum applicable value if explicit value is not provided.</w:t>
      </w:r>
    </w:p>
    <w:p w14:paraId="419BD079" w14:textId="77777777" w:rsidR="00C24683" w:rsidRDefault="00C24683" w:rsidP="00C24683">
      <w:pPr>
        <w:rPr>
          <w:bCs/>
          <w:lang w:eastAsia="zh-CN"/>
        </w:rPr>
      </w:pPr>
    </w:p>
    <w:p w14:paraId="11999251" w14:textId="77777777" w:rsidR="00C24683" w:rsidRPr="00EB2A2E" w:rsidRDefault="00C24683" w:rsidP="00C24683">
      <w:pPr>
        <w:pStyle w:val="ListParagraph"/>
        <w:ind w:left="0"/>
        <w:rPr>
          <w:lang w:val="en-US"/>
        </w:rPr>
      </w:pPr>
      <w:r w:rsidRPr="00EB2A2E">
        <w:rPr>
          <w:highlight w:val="green"/>
          <w:lang w:val="en-US"/>
        </w:rPr>
        <w:t>Agreements</w:t>
      </w:r>
      <w:r w:rsidRPr="00EB2A2E">
        <w:rPr>
          <w:lang w:val="en-US"/>
        </w:rPr>
        <w:t>:</w:t>
      </w:r>
    </w:p>
    <w:p w14:paraId="4B8EF788" w14:textId="77777777" w:rsidR="00C24683" w:rsidRPr="00EB2A2E" w:rsidRDefault="00C24683" w:rsidP="00C24683">
      <w:pPr>
        <w:rPr>
          <w:color w:val="000000"/>
          <w:lang w:val="en-US"/>
        </w:rPr>
      </w:pPr>
      <w:r w:rsidRPr="00EB2A2E">
        <w:t xml:space="preserve">Possible candidate indication methods </w:t>
      </w:r>
      <w:r w:rsidRPr="00EB2A2E">
        <w:rPr>
          <w:color w:val="000000"/>
          <w:lang w:val="en-US"/>
        </w:rPr>
        <w:t>to adapt the minimum applicable value of K0</w:t>
      </w:r>
      <w:r w:rsidRPr="00EB2A2E">
        <w:t xml:space="preserve"> (or K2) for an active DL (or UL) BWP, </w:t>
      </w:r>
      <w:r w:rsidRPr="00EB2A2E">
        <w:rPr>
          <w:color w:val="000000"/>
          <w:lang w:val="en-US"/>
        </w:rPr>
        <w:t>where the indication method is to be selected from:</w:t>
      </w:r>
    </w:p>
    <w:p w14:paraId="46BAE889" w14:textId="77777777" w:rsidR="00C24683" w:rsidRPr="00EB2A2E" w:rsidRDefault="00C24683" w:rsidP="00C24683">
      <w:pPr>
        <w:pStyle w:val="ListParagraph"/>
        <w:numPr>
          <w:ilvl w:val="0"/>
          <w:numId w:val="254"/>
        </w:numPr>
        <w:spacing w:after="0"/>
        <w:contextualSpacing w:val="0"/>
      </w:pPr>
      <w:r w:rsidRPr="00EB2A2E">
        <w:t>Alt 1: Indication of a subset of TDRA entries, e.g., bit-map based indication</w:t>
      </w:r>
    </w:p>
    <w:p w14:paraId="0B77983B" w14:textId="77777777" w:rsidR="00C24683" w:rsidRPr="00EB2A2E" w:rsidRDefault="00C24683" w:rsidP="00C24683">
      <w:pPr>
        <w:pStyle w:val="ListParagraph"/>
        <w:numPr>
          <w:ilvl w:val="0"/>
          <w:numId w:val="252"/>
        </w:numPr>
        <w:spacing w:after="0"/>
        <w:contextualSpacing w:val="0"/>
      </w:pPr>
      <w:r w:rsidRPr="00EB2A2E">
        <w:t>Alt 2: Indication of one active table from multiple configured TDRA tables</w:t>
      </w:r>
    </w:p>
    <w:p w14:paraId="0617B55A" w14:textId="77777777" w:rsidR="00C24683" w:rsidRPr="00EB2A2E" w:rsidRDefault="00C24683" w:rsidP="00C24683">
      <w:pPr>
        <w:pStyle w:val="ListParagraph"/>
        <w:numPr>
          <w:ilvl w:val="0"/>
          <w:numId w:val="253"/>
        </w:numPr>
        <w:autoSpaceDE w:val="0"/>
        <w:autoSpaceDN w:val="0"/>
        <w:spacing w:before="40" w:after="40"/>
        <w:contextualSpacing w:val="0"/>
      </w:pPr>
      <w:r w:rsidRPr="00EB2A2E">
        <w:t>Alt 3: Indication of the minimum applicable value</w:t>
      </w:r>
    </w:p>
    <w:p w14:paraId="5694EDB9" w14:textId="77777777" w:rsidR="00C24683" w:rsidRPr="00EB2A2E" w:rsidRDefault="00C24683" w:rsidP="00C24683">
      <w:pPr>
        <w:pStyle w:val="ListParagraph"/>
        <w:numPr>
          <w:ilvl w:val="0"/>
          <w:numId w:val="253"/>
        </w:numPr>
        <w:autoSpaceDE w:val="0"/>
        <w:autoSpaceDN w:val="0"/>
        <w:spacing w:before="40" w:after="40"/>
        <w:contextualSpacing w:val="0"/>
      </w:pPr>
      <w:r w:rsidRPr="00EB2A2E">
        <w:t>Note: Other option is not precluded</w:t>
      </w:r>
    </w:p>
    <w:p w14:paraId="2A70BC9B" w14:textId="77777777" w:rsidR="00C24683" w:rsidRPr="00EB2A2E" w:rsidRDefault="00C24683" w:rsidP="00C24683">
      <w:pPr>
        <w:autoSpaceDE w:val="0"/>
        <w:autoSpaceDN w:val="0"/>
        <w:spacing w:before="40" w:after="40"/>
      </w:pPr>
      <w:r w:rsidRPr="00EB2A2E">
        <w:t xml:space="preserve">Note: PDCCH monitoring case 1-1 is prioritized for the design. </w:t>
      </w:r>
    </w:p>
    <w:p w14:paraId="42005D73" w14:textId="77777777" w:rsidR="00C24683" w:rsidRPr="00EB2A2E" w:rsidRDefault="00C24683" w:rsidP="00C24683">
      <w:pPr>
        <w:autoSpaceDE w:val="0"/>
        <w:autoSpaceDN w:val="0"/>
        <w:spacing w:before="40" w:after="40"/>
      </w:pPr>
      <w:r w:rsidRPr="00EB2A2E">
        <w:t xml:space="preserve">FFS: Whether and how the minimum applicable K0 (or K2) value of the active DL (or UL) BWP is also applied to cross-BWP scheduling </w:t>
      </w:r>
    </w:p>
    <w:p w14:paraId="230DE822" w14:textId="77777777" w:rsidR="00C24683" w:rsidRDefault="00C24683" w:rsidP="00C24683">
      <w:pPr>
        <w:rPr>
          <w:rFonts w:cs="Arial"/>
        </w:rPr>
      </w:pPr>
    </w:p>
    <w:p w14:paraId="678F34A5" w14:textId="77777777" w:rsidR="00C24683" w:rsidRPr="00C42461" w:rsidRDefault="00C24683" w:rsidP="00C24683">
      <w:pPr>
        <w:pStyle w:val="ListParagraph"/>
        <w:ind w:left="0"/>
      </w:pPr>
      <w:r w:rsidRPr="00C42461">
        <w:rPr>
          <w:highlight w:val="green"/>
        </w:rPr>
        <w:t>Agreements</w:t>
      </w:r>
      <w:r w:rsidRPr="00C42461">
        <w:t>:</w:t>
      </w:r>
    </w:p>
    <w:p w14:paraId="7BE3850A" w14:textId="77777777" w:rsidR="00C24683" w:rsidRPr="00C42461" w:rsidRDefault="00C24683" w:rsidP="00C24683">
      <w:pPr>
        <w:rPr>
          <w:color w:val="000000"/>
          <w:lang w:val="en-US"/>
        </w:rPr>
      </w:pPr>
      <w:r w:rsidRPr="00C42461">
        <w:t xml:space="preserve">Possible candidate indication methods </w:t>
      </w:r>
      <w:r w:rsidRPr="00C42461">
        <w:rPr>
          <w:color w:val="000000"/>
          <w:lang w:val="en-US"/>
        </w:rPr>
        <w:t>to adapt the minimum applicable value of</w:t>
      </w:r>
      <w:r w:rsidRPr="00C42461">
        <w:t xml:space="preserve"> the aperiodic CSI-RS triggering offset for an active DL BWP, </w:t>
      </w:r>
      <w:r w:rsidRPr="00C42461">
        <w:rPr>
          <w:color w:val="000000"/>
          <w:lang w:val="en-US"/>
        </w:rPr>
        <w:t>where the indication method is to be selected from:</w:t>
      </w:r>
      <w:r w:rsidRPr="00C42461">
        <w:t xml:space="preserve"> </w:t>
      </w:r>
    </w:p>
    <w:p w14:paraId="6273CE70" w14:textId="77777777" w:rsidR="00C24683" w:rsidRPr="00C42461" w:rsidRDefault="00C24683" w:rsidP="00C24683">
      <w:pPr>
        <w:pStyle w:val="ListParagraph"/>
        <w:numPr>
          <w:ilvl w:val="0"/>
          <w:numId w:val="253"/>
        </w:numPr>
        <w:spacing w:after="0"/>
        <w:contextualSpacing w:val="0"/>
      </w:pPr>
      <w:r w:rsidRPr="00C42461">
        <w:t>Alt 1: Implicit indication by defining</w:t>
      </w:r>
      <w:r w:rsidRPr="00C42461">
        <w:rPr>
          <w:color w:val="000000"/>
          <w:lang w:val="en-US"/>
        </w:rPr>
        <w:t xml:space="preserve"> the minimum applicable value the same as </w:t>
      </w:r>
      <w:r w:rsidRPr="00C42461">
        <w:t>the minimum applicable K0 value when indicated</w:t>
      </w:r>
    </w:p>
    <w:p w14:paraId="0FC377A1" w14:textId="77777777" w:rsidR="00C24683" w:rsidRPr="00C42461" w:rsidRDefault="00C24683" w:rsidP="00C24683">
      <w:pPr>
        <w:pStyle w:val="ListParagraph"/>
        <w:numPr>
          <w:ilvl w:val="0"/>
          <w:numId w:val="253"/>
        </w:numPr>
        <w:spacing w:after="0"/>
        <w:contextualSpacing w:val="0"/>
        <w:rPr>
          <w:lang w:val="en-US"/>
        </w:rPr>
      </w:pPr>
      <w:r w:rsidRPr="00C42461">
        <w:t xml:space="preserve">Alt 2: Indication of the minimum applicable value </w:t>
      </w:r>
    </w:p>
    <w:p w14:paraId="58D12644" w14:textId="77777777" w:rsidR="00C24683" w:rsidRPr="00C42461" w:rsidRDefault="00C24683" w:rsidP="00C24683">
      <w:pPr>
        <w:pStyle w:val="ListParagraph"/>
        <w:numPr>
          <w:ilvl w:val="0"/>
          <w:numId w:val="253"/>
        </w:numPr>
        <w:autoSpaceDE w:val="0"/>
        <w:autoSpaceDN w:val="0"/>
        <w:spacing w:before="40" w:after="40"/>
        <w:contextualSpacing w:val="0"/>
      </w:pPr>
      <w:r w:rsidRPr="00C42461">
        <w:t>Note: Other option is not precluded</w:t>
      </w:r>
    </w:p>
    <w:p w14:paraId="6AB5E32E" w14:textId="77777777" w:rsidR="00C24683" w:rsidRPr="00C42461" w:rsidRDefault="00C24683" w:rsidP="00C24683">
      <w:pPr>
        <w:autoSpaceDE w:val="0"/>
        <w:autoSpaceDN w:val="0"/>
        <w:spacing w:before="40" w:after="40"/>
      </w:pPr>
      <w:r w:rsidRPr="00C42461">
        <w:t xml:space="preserve">Note: PDCCH monitoring case 1-1 is prioritized for the design. </w:t>
      </w:r>
    </w:p>
    <w:p w14:paraId="5ED94BCD" w14:textId="77777777" w:rsidR="00C24683" w:rsidRDefault="00C24683" w:rsidP="00C24683">
      <w:pPr>
        <w:pStyle w:val="ListParagraph"/>
        <w:ind w:left="0"/>
        <w:rPr>
          <w:highlight w:val="yellow"/>
        </w:rPr>
      </w:pPr>
    </w:p>
    <w:p w14:paraId="513DED7C" w14:textId="77777777" w:rsidR="00C24683" w:rsidRPr="00C42461" w:rsidRDefault="00C24683" w:rsidP="00C24683">
      <w:pPr>
        <w:pStyle w:val="ListParagraph"/>
        <w:ind w:left="0"/>
      </w:pPr>
      <w:r w:rsidRPr="00C42461">
        <w:rPr>
          <w:highlight w:val="green"/>
        </w:rPr>
        <w:t>Agreements</w:t>
      </w:r>
      <w:r w:rsidRPr="00C42461">
        <w:t>:</w:t>
      </w:r>
    </w:p>
    <w:p w14:paraId="4FCC8B1B" w14:textId="77777777" w:rsidR="00C24683" w:rsidRPr="00C42461" w:rsidRDefault="00C24683" w:rsidP="00C24683">
      <w:pPr>
        <w:pStyle w:val="ListParagraph"/>
        <w:numPr>
          <w:ilvl w:val="0"/>
          <w:numId w:val="255"/>
        </w:numPr>
        <w:spacing w:after="0"/>
        <w:contextualSpacing w:val="0"/>
        <w:rPr>
          <w:lang w:val="en-US"/>
        </w:rPr>
      </w:pPr>
      <w:r w:rsidRPr="00C42461">
        <w:rPr>
          <w:lang w:val="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4477"/>
      </w:tblGrid>
      <w:tr w:rsidR="00C24683" w:rsidRPr="00CE0BE5" w14:paraId="613FB3C0" w14:textId="77777777" w:rsidTr="00EB459A">
        <w:tc>
          <w:tcPr>
            <w:tcW w:w="5228" w:type="dxa"/>
            <w:shd w:val="clear" w:color="auto" w:fill="auto"/>
          </w:tcPr>
          <w:p w14:paraId="75017B93" w14:textId="77777777" w:rsidR="00C24683" w:rsidRPr="00CE0BE5" w:rsidRDefault="00C24683" w:rsidP="00EB459A">
            <w:pPr>
              <w:jc w:val="center"/>
              <w:rPr>
                <w:b/>
                <w:lang w:val="en-US"/>
              </w:rPr>
            </w:pPr>
            <w:r w:rsidRPr="00CE0BE5">
              <w:rPr>
                <w:b/>
                <w:lang w:val="en-US"/>
              </w:rPr>
              <w:t>RNTI</w:t>
            </w:r>
          </w:p>
        </w:tc>
        <w:tc>
          <w:tcPr>
            <w:tcW w:w="5229" w:type="dxa"/>
            <w:shd w:val="clear" w:color="auto" w:fill="auto"/>
          </w:tcPr>
          <w:p w14:paraId="54EE9E67" w14:textId="77777777" w:rsidR="00C24683" w:rsidRPr="00CE0BE5" w:rsidRDefault="00C24683" w:rsidP="00EB459A">
            <w:pPr>
              <w:pStyle w:val="ListParagraph"/>
              <w:ind w:left="800"/>
              <w:jc w:val="center"/>
              <w:rPr>
                <w:b/>
                <w:lang w:val="en-US"/>
              </w:rPr>
            </w:pPr>
            <w:r w:rsidRPr="00CE0BE5">
              <w:rPr>
                <w:b/>
                <w:lang w:val="en-US"/>
              </w:rPr>
              <w:t>PDCCH search space</w:t>
            </w:r>
          </w:p>
        </w:tc>
      </w:tr>
      <w:tr w:rsidR="00C24683" w:rsidRPr="00CE0BE5" w14:paraId="4EA0040E" w14:textId="77777777" w:rsidTr="00EB459A">
        <w:tc>
          <w:tcPr>
            <w:tcW w:w="5228" w:type="dxa"/>
            <w:shd w:val="clear" w:color="auto" w:fill="auto"/>
          </w:tcPr>
          <w:p w14:paraId="63DFC0E3" w14:textId="77777777" w:rsidR="00C24683" w:rsidRPr="00CE0BE5" w:rsidRDefault="00C24683" w:rsidP="00EB459A">
            <w:pPr>
              <w:pStyle w:val="ListParagraph"/>
              <w:ind w:left="800"/>
              <w:jc w:val="center"/>
              <w:rPr>
                <w:lang w:val="en-US"/>
              </w:rPr>
            </w:pPr>
            <w:r w:rsidRPr="00CE0BE5">
              <w:rPr>
                <w:lang w:val="en-US"/>
              </w:rPr>
              <w:t>SI-RNTI</w:t>
            </w:r>
          </w:p>
        </w:tc>
        <w:tc>
          <w:tcPr>
            <w:tcW w:w="5229" w:type="dxa"/>
            <w:shd w:val="clear" w:color="auto" w:fill="auto"/>
          </w:tcPr>
          <w:p w14:paraId="19F7B323" w14:textId="77777777" w:rsidR="00C24683" w:rsidRPr="00CE0BE5" w:rsidRDefault="00C24683" w:rsidP="00EB459A">
            <w:pPr>
              <w:pStyle w:val="ListParagraph"/>
              <w:ind w:left="800"/>
              <w:jc w:val="center"/>
              <w:rPr>
                <w:lang w:val="en-US"/>
              </w:rPr>
            </w:pPr>
            <w:r w:rsidRPr="00CE0BE5">
              <w:rPr>
                <w:lang w:val="en-US"/>
              </w:rPr>
              <w:t>Type0 common</w:t>
            </w:r>
          </w:p>
        </w:tc>
      </w:tr>
      <w:tr w:rsidR="00C24683" w:rsidRPr="00CE0BE5" w14:paraId="6797CF1B" w14:textId="77777777" w:rsidTr="00EB459A">
        <w:tc>
          <w:tcPr>
            <w:tcW w:w="5228" w:type="dxa"/>
            <w:shd w:val="clear" w:color="auto" w:fill="auto"/>
          </w:tcPr>
          <w:p w14:paraId="6BC86BB8" w14:textId="77777777" w:rsidR="00C24683" w:rsidRPr="00CE0BE5" w:rsidRDefault="00C24683" w:rsidP="00EB459A">
            <w:pPr>
              <w:pStyle w:val="ListParagraph"/>
              <w:ind w:left="800"/>
              <w:jc w:val="center"/>
              <w:rPr>
                <w:lang w:val="en-US"/>
              </w:rPr>
            </w:pPr>
            <w:r w:rsidRPr="00CE0BE5">
              <w:rPr>
                <w:lang w:val="en-US"/>
              </w:rPr>
              <w:t>SI-RNTI</w:t>
            </w:r>
          </w:p>
        </w:tc>
        <w:tc>
          <w:tcPr>
            <w:tcW w:w="5229" w:type="dxa"/>
            <w:shd w:val="clear" w:color="auto" w:fill="auto"/>
          </w:tcPr>
          <w:p w14:paraId="02D95B7F" w14:textId="77777777" w:rsidR="00C24683" w:rsidRPr="00CE0BE5" w:rsidRDefault="00C24683" w:rsidP="00EB459A">
            <w:pPr>
              <w:jc w:val="center"/>
              <w:rPr>
                <w:lang w:val="en-US"/>
              </w:rPr>
            </w:pPr>
            <w:r w:rsidRPr="00CE0BE5">
              <w:rPr>
                <w:lang w:val="en-US"/>
              </w:rPr>
              <w:t>Type0A common</w:t>
            </w:r>
          </w:p>
        </w:tc>
      </w:tr>
      <w:tr w:rsidR="00C24683" w:rsidRPr="00CE0BE5" w14:paraId="172B1D22" w14:textId="77777777" w:rsidTr="00EB459A">
        <w:tc>
          <w:tcPr>
            <w:tcW w:w="5228" w:type="dxa"/>
            <w:shd w:val="clear" w:color="auto" w:fill="auto"/>
          </w:tcPr>
          <w:p w14:paraId="45F132F3" w14:textId="77777777" w:rsidR="00C24683" w:rsidRPr="00CE0BE5" w:rsidRDefault="00C24683" w:rsidP="00EB459A">
            <w:pPr>
              <w:pStyle w:val="ListParagraph"/>
              <w:ind w:left="800"/>
              <w:jc w:val="center"/>
              <w:rPr>
                <w:lang w:val="en-US"/>
              </w:rPr>
            </w:pPr>
            <w:r w:rsidRPr="00CE0BE5">
              <w:rPr>
                <w:lang w:val="en-US"/>
              </w:rPr>
              <w:t>RA-RNTI, TC-RNTI</w:t>
            </w:r>
          </w:p>
        </w:tc>
        <w:tc>
          <w:tcPr>
            <w:tcW w:w="5229" w:type="dxa"/>
            <w:shd w:val="clear" w:color="auto" w:fill="auto"/>
          </w:tcPr>
          <w:p w14:paraId="513C7396" w14:textId="77777777" w:rsidR="00C24683" w:rsidRPr="00CE0BE5" w:rsidRDefault="00C24683" w:rsidP="00EB459A">
            <w:pPr>
              <w:pStyle w:val="ListParagraph"/>
              <w:ind w:left="800"/>
              <w:jc w:val="center"/>
              <w:rPr>
                <w:lang w:val="en-US"/>
              </w:rPr>
            </w:pPr>
            <w:r w:rsidRPr="00CE0BE5">
              <w:rPr>
                <w:lang w:val="en-US"/>
              </w:rPr>
              <w:t>Type1 common</w:t>
            </w:r>
          </w:p>
        </w:tc>
      </w:tr>
      <w:tr w:rsidR="00C24683" w:rsidRPr="00CE0BE5" w14:paraId="4995B134" w14:textId="77777777" w:rsidTr="00EB459A">
        <w:tc>
          <w:tcPr>
            <w:tcW w:w="5228" w:type="dxa"/>
            <w:shd w:val="clear" w:color="auto" w:fill="auto"/>
          </w:tcPr>
          <w:p w14:paraId="6C095A72" w14:textId="77777777" w:rsidR="00C24683" w:rsidRPr="00CE0BE5" w:rsidRDefault="00C24683" w:rsidP="00EB459A">
            <w:pPr>
              <w:pStyle w:val="ListParagraph"/>
              <w:ind w:left="800"/>
              <w:jc w:val="center"/>
              <w:rPr>
                <w:lang w:val="en-US"/>
              </w:rPr>
            </w:pPr>
            <w:r w:rsidRPr="00CE0BE5">
              <w:rPr>
                <w:lang w:val="en-US"/>
              </w:rPr>
              <w:t>P-RNTI</w:t>
            </w:r>
          </w:p>
        </w:tc>
        <w:tc>
          <w:tcPr>
            <w:tcW w:w="5229" w:type="dxa"/>
            <w:shd w:val="clear" w:color="auto" w:fill="auto"/>
          </w:tcPr>
          <w:p w14:paraId="3DDFB0FD" w14:textId="77777777" w:rsidR="00C24683" w:rsidRPr="00CE0BE5" w:rsidRDefault="00C24683" w:rsidP="00EB459A">
            <w:pPr>
              <w:pStyle w:val="ListParagraph"/>
              <w:ind w:left="800"/>
              <w:jc w:val="center"/>
              <w:rPr>
                <w:lang w:val="en-US"/>
              </w:rPr>
            </w:pPr>
            <w:r w:rsidRPr="00CE0BE5">
              <w:rPr>
                <w:lang w:val="en-US"/>
              </w:rPr>
              <w:t>Type2 common</w:t>
            </w:r>
          </w:p>
        </w:tc>
      </w:tr>
    </w:tbl>
    <w:p w14:paraId="0EBBE2D2" w14:textId="77777777" w:rsidR="00C24683" w:rsidRPr="00D3088D" w:rsidRDefault="00C24683" w:rsidP="00C24683">
      <w:pPr>
        <w:rPr>
          <w:lang w:val="en-US"/>
        </w:rPr>
      </w:pPr>
    </w:p>
    <w:p w14:paraId="58F95E57" w14:textId="77777777" w:rsidR="00C24683" w:rsidRPr="00C42461" w:rsidRDefault="00C24683" w:rsidP="00C24683">
      <w:pPr>
        <w:rPr>
          <w:b/>
          <w:u w:val="single"/>
        </w:rPr>
      </w:pPr>
      <w:r w:rsidRPr="00C42461">
        <w:rPr>
          <w:b/>
          <w:u w:val="single"/>
        </w:rPr>
        <w:t>Conclusion:</w:t>
      </w:r>
    </w:p>
    <w:p w14:paraId="71A51774" w14:textId="77777777" w:rsidR="00C24683" w:rsidRPr="00C42461" w:rsidRDefault="00C24683" w:rsidP="00C24683">
      <w:pPr>
        <w:rPr>
          <w:lang w:val="en-US"/>
        </w:rPr>
      </w:pPr>
      <w:r w:rsidRPr="00C42461">
        <w:rPr>
          <w:lang w:val="en-US"/>
        </w:rPr>
        <w:t>Companies are encouraged to further investigate whether to apply the adaptation for at least the following cases:</w:t>
      </w:r>
    </w:p>
    <w:p w14:paraId="6581B3E6" w14:textId="77777777" w:rsidR="00C24683" w:rsidRPr="00C42461" w:rsidRDefault="00C24683" w:rsidP="00C24683">
      <w:pPr>
        <w:pStyle w:val="ListParagraph"/>
        <w:numPr>
          <w:ilvl w:val="0"/>
          <w:numId w:val="255"/>
        </w:numPr>
        <w:spacing w:after="0"/>
        <w:contextualSpacing w:val="0"/>
        <w:rPr>
          <w:lang w:val="en-US"/>
        </w:rPr>
      </w:pPr>
      <w:r w:rsidRPr="00C42461">
        <w:rPr>
          <w:lang w:val="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0"/>
        <w:gridCol w:w="4167"/>
      </w:tblGrid>
      <w:tr w:rsidR="00C24683" w:rsidRPr="00CE0BE5" w14:paraId="2BE19EAA" w14:textId="77777777" w:rsidTr="00EB459A">
        <w:tc>
          <w:tcPr>
            <w:tcW w:w="5231" w:type="dxa"/>
            <w:shd w:val="clear" w:color="auto" w:fill="auto"/>
          </w:tcPr>
          <w:p w14:paraId="3BDF7B03" w14:textId="77777777" w:rsidR="00C24683" w:rsidRPr="00CE0BE5" w:rsidRDefault="00C24683" w:rsidP="00EB459A">
            <w:pPr>
              <w:jc w:val="center"/>
              <w:rPr>
                <w:b/>
                <w:lang w:val="en-US"/>
              </w:rPr>
            </w:pPr>
            <w:r w:rsidRPr="00CE0BE5">
              <w:rPr>
                <w:b/>
                <w:lang w:val="en-US"/>
              </w:rPr>
              <w:t>RNTI</w:t>
            </w:r>
          </w:p>
        </w:tc>
        <w:tc>
          <w:tcPr>
            <w:tcW w:w="4522" w:type="dxa"/>
            <w:shd w:val="clear" w:color="auto" w:fill="auto"/>
          </w:tcPr>
          <w:p w14:paraId="077EF09E" w14:textId="77777777" w:rsidR="00C24683" w:rsidRPr="00CE0BE5" w:rsidRDefault="00C24683" w:rsidP="00EB459A">
            <w:pPr>
              <w:pStyle w:val="ListParagraph"/>
              <w:ind w:left="800"/>
              <w:jc w:val="center"/>
              <w:rPr>
                <w:b/>
                <w:lang w:val="en-US"/>
              </w:rPr>
            </w:pPr>
            <w:r w:rsidRPr="00CE0BE5">
              <w:rPr>
                <w:b/>
                <w:lang w:val="en-US"/>
              </w:rPr>
              <w:t>PDCCH search space</w:t>
            </w:r>
          </w:p>
        </w:tc>
      </w:tr>
      <w:tr w:rsidR="00C24683" w:rsidRPr="00CE0BE5" w14:paraId="323DB549" w14:textId="77777777" w:rsidTr="00EB459A">
        <w:tc>
          <w:tcPr>
            <w:tcW w:w="5231" w:type="dxa"/>
            <w:shd w:val="clear" w:color="auto" w:fill="auto"/>
          </w:tcPr>
          <w:p w14:paraId="09909B41" w14:textId="77777777" w:rsidR="00C24683" w:rsidRPr="00CE0BE5" w:rsidRDefault="00C24683" w:rsidP="00EB459A">
            <w:pPr>
              <w:pStyle w:val="ListParagraph"/>
              <w:ind w:left="800"/>
              <w:jc w:val="center"/>
              <w:rPr>
                <w:lang w:val="en-US"/>
              </w:rPr>
            </w:pPr>
            <w:r w:rsidRPr="00CE0BE5">
              <w:rPr>
                <w:color w:val="000000"/>
              </w:rPr>
              <w:t>C-RNTI, CS-RNTI</w:t>
            </w:r>
          </w:p>
        </w:tc>
        <w:tc>
          <w:tcPr>
            <w:tcW w:w="4522" w:type="dxa"/>
            <w:shd w:val="clear" w:color="auto" w:fill="auto"/>
          </w:tcPr>
          <w:p w14:paraId="0BA0C8A2" w14:textId="77777777" w:rsidR="00C24683" w:rsidRPr="00CE0BE5" w:rsidRDefault="00C24683" w:rsidP="00EB459A">
            <w:pPr>
              <w:pStyle w:val="ListParagraph"/>
              <w:ind w:left="800"/>
              <w:jc w:val="center"/>
              <w:rPr>
                <w:lang w:val="en-US"/>
              </w:rPr>
            </w:pPr>
          </w:p>
        </w:tc>
      </w:tr>
      <w:tr w:rsidR="00C24683" w:rsidRPr="00CE0BE5" w14:paraId="75DA4A8A" w14:textId="77777777" w:rsidTr="00EB459A">
        <w:tc>
          <w:tcPr>
            <w:tcW w:w="5231" w:type="dxa"/>
            <w:shd w:val="clear" w:color="auto" w:fill="auto"/>
          </w:tcPr>
          <w:p w14:paraId="04608179" w14:textId="77777777" w:rsidR="00C24683" w:rsidRPr="00CE0BE5" w:rsidRDefault="00C24683" w:rsidP="00EB459A">
            <w:pPr>
              <w:pStyle w:val="ListParagraph"/>
              <w:ind w:left="800"/>
              <w:jc w:val="center"/>
              <w:rPr>
                <w:color w:val="000000"/>
              </w:rPr>
            </w:pPr>
            <w:r w:rsidRPr="00CE0BE5">
              <w:rPr>
                <w:color w:val="000000"/>
              </w:rPr>
              <w:t>MCS-C-RNTI</w:t>
            </w:r>
          </w:p>
        </w:tc>
        <w:tc>
          <w:tcPr>
            <w:tcW w:w="4522" w:type="dxa"/>
            <w:shd w:val="clear" w:color="auto" w:fill="auto"/>
          </w:tcPr>
          <w:p w14:paraId="0553AB2B" w14:textId="77777777" w:rsidR="00C24683" w:rsidRPr="00CE0BE5" w:rsidRDefault="00C24683" w:rsidP="00EB459A">
            <w:pPr>
              <w:pStyle w:val="ListParagraph"/>
              <w:ind w:left="800"/>
              <w:jc w:val="center"/>
              <w:rPr>
                <w:color w:val="000000"/>
              </w:rPr>
            </w:pPr>
          </w:p>
        </w:tc>
      </w:tr>
    </w:tbl>
    <w:p w14:paraId="526A79A2" w14:textId="77777777" w:rsidR="00C24683" w:rsidRPr="00C42461" w:rsidRDefault="00C24683" w:rsidP="00C24683">
      <w:pPr>
        <w:rPr>
          <w:lang w:val="en-US"/>
        </w:rPr>
      </w:pPr>
    </w:p>
    <w:p w14:paraId="59C90C19" w14:textId="77777777" w:rsidR="00C24683" w:rsidRPr="00C42461" w:rsidRDefault="00C24683" w:rsidP="00C24683">
      <w:pPr>
        <w:pStyle w:val="ListParagraph"/>
        <w:numPr>
          <w:ilvl w:val="0"/>
          <w:numId w:val="255"/>
        </w:numPr>
        <w:spacing w:after="0"/>
        <w:contextualSpacing w:val="0"/>
        <w:rPr>
          <w:lang w:val="en-US"/>
        </w:rPr>
      </w:pPr>
      <w:r w:rsidRPr="00C42461">
        <w:rPr>
          <w:lang w:val="en-US"/>
        </w:rPr>
        <w:lastRenderedPageBreak/>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8"/>
        <w:gridCol w:w="11"/>
        <w:gridCol w:w="4512"/>
      </w:tblGrid>
      <w:tr w:rsidR="00C24683" w:rsidRPr="00CE0BE5" w14:paraId="36C7D61B" w14:textId="77777777" w:rsidTr="00EB459A">
        <w:tc>
          <w:tcPr>
            <w:tcW w:w="4857" w:type="dxa"/>
            <w:shd w:val="clear" w:color="auto" w:fill="auto"/>
          </w:tcPr>
          <w:p w14:paraId="10E20988" w14:textId="77777777" w:rsidR="00C24683" w:rsidRPr="00CE0BE5" w:rsidRDefault="00C24683" w:rsidP="00EB459A">
            <w:pPr>
              <w:jc w:val="center"/>
              <w:rPr>
                <w:b/>
                <w:lang w:val="en-US"/>
              </w:rPr>
            </w:pPr>
            <w:r w:rsidRPr="00CE0BE5">
              <w:rPr>
                <w:b/>
                <w:lang w:val="en-US"/>
              </w:rPr>
              <w:t>RNTI</w:t>
            </w:r>
          </w:p>
        </w:tc>
        <w:tc>
          <w:tcPr>
            <w:tcW w:w="4880" w:type="dxa"/>
            <w:gridSpan w:val="2"/>
            <w:shd w:val="clear" w:color="auto" w:fill="auto"/>
          </w:tcPr>
          <w:p w14:paraId="4A944FD7" w14:textId="77777777" w:rsidR="00C24683" w:rsidRPr="00CE0BE5" w:rsidRDefault="00C24683" w:rsidP="00EB459A">
            <w:pPr>
              <w:pStyle w:val="ListParagraph"/>
              <w:ind w:left="800"/>
              <w:jc w:val="center"/>
              <w:rPr>
                <w:b/>
                <w:lang w:val="en-US"/>
              </w:rPr>
            </w:pPr>
            <w:r w:rsidRPr="00CE0BE5">
              <w:rPr>
                <w:b/>
                <w:lang w:val="en-US"/>
              </w:rPr>
              <w:t>PDCCH search space</w:t>
            </w:r>
          </w:p>
        </w:tc>
      </w:tr>
      <w:tr w:rsidR="00C24683" w:rsidRPr="00CE0BE5" w14:paraId="249F91D8" w14:textId="77777777" w:rsidTr="00EB459A">
        <w:tc>
          <w:tcPr>
            <w:tcW w:w="9737" w:type="dxa"/>
            <w:gridSpan w:val="3"/>
            <w:shd w:val="clear" w:color="auto" w:fill="auto"/>
          </w:tcPr>
          <w:p w14:paraId="2B6D8BF9" w14:textId="77777777" w:rsidR="00C24683" w:rsidRPr="00CE0BE5" w:rsidRDefault="00C24683" w:rsidP="00EB459A">
            <w:pPr>
              <w:jc w:val="center"/>
              <w:rPr>
                <w:b/>
                <w:lang w:val="en-US"/>
              </w:rPr>
            </w:pPr>
            <w:r w:rsidRPr="00CE0BE5">
              <w:rPr>
                <w:color w:val="000000"/>
              </w:rPr>
              <w:t>PUSCH scheduled by MAC RAR as described in subclause 8.2 of TS 38.213</w:t>
            </w:r>
          </w:p>
        </w:tc>
      </w:tr>
      <w:tr w:rsidR="00C24683" w:rsidRPr="00CE0BE5" w14:paraId="5AE4DA9E" w14:textId="77777777" w:rsidTr="00EB459A">
        <w:tc>
          <w:tcPr>
            <w:tcW w:w="4868" w:type="dxa"/>
            <w:gridSpan w:val="2"/>
            <w:shd w:val="clear" w:color="auto" w:fill="auto"/>
          </w:tcPr>
          <w:p w14:paraId="18AAE2C3" w14:textId="77777777" w:rsidR="00C24683" w:rsidRPr="00CE0BE5" w:rsidRDefault="00C24683" w:rsidP="00EB459A">
            <w:pPr>
              <w:jc w:val="center"/>
              <w:rPr>
                <w:color w:val="000000"/>
              </w:rPr>
            </w:pPr>
            <w:r w:rsidRPr="00CE0BE5">
              <w:rPr>
                <w:color w:val="000000"/>
              </w:rPr>
              <w:t>C-RNTI, TC-RNTI, CS-RNTI</w:t>
            </w:r>
          </w:p>
        </w:tc>
        <w:tc>
          <w:tcPr>
            <w:tcW w:w="4869" w:type="dxa"/>
            <w:shd w:val="clear" w:color="auto" w:fill="auto"/>
          </w:tcPr>
          <w:p w14:paraId="6ECA1DC4" w14:textId="77777777" w:rsidR="00C24683" w:rsidRPr="00CE0BE5" w:rsidRDefault="00C24683" w:rsidP="00EB459A">
            <w:pPr>
              <w:jc w:val="center"/>
              <w:rPr>
                <w:color w:val="000000"/>
              </w:rPr>
            </w:pPr>
          </w:p>
        </w:tc>
      </w:tr>
      <w:tr w:rsidR="00C24683" w:rsidRPr="00CE0BE5" w14:paraId="6F5BCA36" w14:textId="77777777" w:rsidTr="00EB459A">
        <w:tc>
          <w:tcPr>
            <w:tcW w:w="4868" w:type="dxa"/>
            <w:gridSpan w:val="2"/>
            <w:shd w:val="clear" w:color="auto" w:fill="auto"/>
          </w:tcPr>
          <w:p w14:paraId="18A3C754" w14:textId="77777777" w:rsidR="00C24683" w:rsidRPr="00CE0BE5" w:rsidRDefault="00C24683" w:rsidP="00EB459A">
            <w:pPr>
              <w:jc w:val="center"/>
              <w:rPr>
                <w:color w:val="000000"/>
              </w:rPr>
            </w:pPr>
            <w:r w:rsidRPr="00CE0BE5">
              <w:rPr>
                <w:color w:val="000000"/>
              </w:rPr>
              <w:t>MCS-C-RNTI</w:t>
            </w:r>
          </w:p>
        </w:tc>
        <w:tc>
          <w:tcPr>
            <w:tcW w:w="4869" w:type="dxa"/>
            <w:shd w:val="clear" w:color="auto" w:fill="auto"/>
          </w:tcPr>
          <w:p w14:paraId="5E229284" w14:textId="77777777" w:rsidR="00C24683" w:rsidRPr="00CE0BE5" w:rsidRDefault="00C24683" w:rsidP="00EB459A">
            <w:pPr>
              <w:jc w:val="center"/>
              <w:rPr>
                <w:color w:val="000000"/>
              </w:rPr>
            </w:pPr>
          </w:p>
        </w:tc>
      </w:tr>
    </w:tbl>
    <w:p w14:paraId="2F6967EA" w14:textId="77777777" w:rsidR="00C24683" w:rsidRPr="0030498C" w:rsidRDefault="00C24683" w:rsidP="00C24683">
      <w:pPr>
        <w:rPr>
          <w:rFonts w:cs="Arial"/>
        </w:rPr>
      </w:pPr>
    </w:p>
    <w:p w14:paraId="30100249" w14:textId="77777777" w:rsidR="00C24683" w:rsidRPr="00C24683" w:rsidRDefault="00C24683" w:rsidP="00C24683">
      <w:pPr>
        <w:rPr>
          <w:rFonts w:eastAsia="SimSun"/>
          <w:lang w:val="en-US" w:eastAsia="zh-CN"/>
        </w:rPr>
      </w:pPr>
    </w:p>
    <w:sectPr w:rsidR="00C24683" w:rsidRPr="00C2468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5855D" w14:textId="77777777" w:rsidR="00D33843" w:rsidRDefault="00D33843">
      <w:r>
        <w:separator/>
      </w:r>
    </w:p>
  </w:endnote>
  <w:endnote w:type="continuationSeparator" w:id="0">
    <w:p w14:paraId="198AF86D" w14:textId="77777777" w:rsidR="00D33843" w:rsidRDefault="00D33843">
      <w:r>
        <w:continuationSeparator/>
      </w:r>
    </w:p>
  </w:endnote>
  <w:endnote w:type="continuationNotice" w:id="1">
    <w:p w14:paraId="72D34B52" w14:textId="77777777" w:rsidR="00D33843" w:rsidRDefault="00D33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63E1A" w:rsidRDefault="00C63E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F0379" w14:textId="77777777" w:rsidR="00D33843" w:rsidRDefault="00D33843">
      <w:r>
        <w:separator/>
      </w:r>
    </w:p>
  </w:footnote>
  <w:footnote w:type="continuationSeparator" w:id="0">
    <w:p w14:paraId="7C8B61C4" w14:textId="77777777" w:rsidR="00D33843" w:rsidRDefault="00D33843">
      <w:r>
        <w:continuationSeparator/>
      </w:r>
    </w:p>
  </w:footnote>
  <w:footnote w:type="continuationNotice" w:id="1">
    <w:p w14:paraId="53A40825" w14:textId="77777777" w:rsidR="00D33843" w:rsidRDefault="00D33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AB694" w14:textId="77777777" w:rsidR="00552320" w:rsidRDefault="0055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2E686E"/>
    <w:multiLevelType w:val="hybridMultilevel"/>
    <w:tmpl w:val="D138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8DC0520"/>
    <w:multiLevelType w:val="hybridMultilevel"/>
    <w:tmpl w:val="BC72EF1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D72BD9"/>
    <w:multiLevelType w:val="hybridMultilevel"/>
    <w:tmpl w:val="A648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79B5CBB"/>
    <w:multiLevelType w:val="hybridMultilevel"/>
    <w:tmpl w:val="566CF3A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CA3D57"/>
    <w:multiLevelType w:val="hybridMultilevel"/>
    <w:tmpl w:val="09EE4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4"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6"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8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3"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9"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3" w15:restartNumberingAfterBreak="0">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5"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6"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C55EA1"/>
    <w:multiLevelType w:val="hybridMultilevel"/>
    <w:tmpl w:val="0F5A413E"/>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9130E5"/>
    <w:multiLevelType w:val="hybridMultilevel"/>
    <w:tmpl w:val="FCFA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28" w15:restartNumberingAfterBreak="0">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2"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1"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5"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AF37E8A"/>
    <w:multiLevelType w:val="hybridMultilevel"/>
    <w:tmpl w:val="7A9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5"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3"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6"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71"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5" w15:restartNumberingAfterBreak="0">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6"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8"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90"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1" w15:restartNumberingAfterBreak="0">
    <w:nsid w:val="6096285C"/>
    <w:multiLevelType w:val="hybridMultilevel"/>
    <w:tmpl w:val="152A5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6"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7"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8" w15:restartNumberingAfterBreak="0">
    <w:nsid w:val="66C8628B"/>
    <w:multiLevelType w:val="hybridMultilevel"/>
    <w:tmpl w:val="5170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2"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3"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A7B3896"/>
    <w:multiLevelType w:val="hybridMultilevel"/>
    <w:tmpl w:val="0ABAC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3" w15:restartNumberingAfterBreak="0">
    <w:nsid w:val="6F2F2463"/>
    <w:multiLevelType w:val="hybridMultilevel"/>
    <w:tmpl w:val="AB9AA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16"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8" w15:restartNumberingAfterBreak="0">
    <w:nsid w:val="717B4781"/>
    <w:multiLevelType w:val="hybridMultilevel"/>
    <w:tmpl w:val="D390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1"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25"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4ED7151"/>
    <w:multiLevelType w:val="multilevel"/>
    <w:tmpl w:val="F8244648"/>
    <w:numStyleLink w:val="StyleBulletedSymbolsymbolLeft025Hanging0252"/>
  </w:abstractNum>
  <w:abstractNum w:abstractNumId="227" w15:restartNumberingAfterBreak="0">
    <w:nsid w:val="75A34830"/>
    <w:multiLevelType w:val="hybridMultilevel"/>
    <w:tmpl w:val="9948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68C2489"/>
    <w:multiLevelType w:val="hybridMultilevel"/>
    <w:tmpl w:val="8506B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1" w15:restartNumberingAfterBreak="0">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2"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3" w15:restartNumberingAfterBreak="0">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A281170"/>
    <w:multiLevelType w:val="hybridMultilevel"/>
    <w:tmpl w:val="61381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3"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4" w15:restartNumberingAfterBreak="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30"/>
  </w:num>
  <w:num w:numId="4">
    <w:abstractNumId w:val="196"/>
  </w:num>
  <w:num w:numId="5">
    <w:abstractNumId w:val="232"/>
  </w:num>
  <w:num w:numId="6">
    <w:abstractNumId w:val="229"/>
  </w:num>
  <w:num w:numId="7">
    <w:abstractNumId w:val="213"/>
  </w:num>
  <w:num w:numId="8">
    <w:abstractNumId w:val="122"/>
  </w:num>
  <w:num w:numId="9">
    <w:abstractNumId w:val="49"/>
  </w:num>
  <w:num w:numId="10">
    <w:abstractNumId w:val="22"/>
  </w:num>
  <w:num w:numId="11">
    <w:abstractNumId w:val="223"/>
  </w:num>
  <w:num w:numId="12">
    <w:abstractNumId w:val="165"/>
  </w:num>
  <w:num w:numId="13">
    <w:abstractNumId w:val="93"/>
  </w:num>
  <w:num w:numId="14">
    <w:abstractNumId w:val="226"/>
  </w:num>
  <w:num w:numId="15">
    <w:abstractNumId w:val="28"/>
  </w:num>
  <w:num w:numId="16">
    <w:abstractNumId w:val="218"/>
  </w:num>
  <w:num w:numId="17">
    <w:abstractNumId w:val="77"/>
  </w:num>
  <w:num w:numId="18">
    <w:abstractNumId w:val="108"/>
  </w:num>
  <w:num w:numId="19">
    <w:abstractNumId w:val="100"/>
  </w:num>
  <w:num w:numId="20">
    <w:abstractNumId w:val="172"/>
  </w:num>
  <w:num w:numId="21">
    <w:abstractNumId w:val="232"/>
  </w:num>
  <w:num w:numId="22">
    <w:abstractNumId w:val="208"/>
  </w:num>
  <w:num w:numId="23">
    <w:abstractNumId w:val="126"/>
  </w:num>
  <w:num w:numId="24">
    <w:abstractNumId w:val="152"/>
  </w:num>
  <w:num w:numId="25">
    <w:abstractNumId w:val="72"/>
  </w:num>
  <w:num w:numId="26">
    <w:abstractNumId w:val="236"/>
  </w:num>
  <w:num w:numId="27">
    <w:abstractNumId w:val="191"/>
  </w:num>
  <w:num w:numId="28">
    <w:abstractNumId w:val="44"/>
  </w:num>
  <w:num w:numId="29">
    <w:abstractNumId w:val="198"/>
  </w:num>
  <w:num w:numId="30">
    <w:abstractNumId w:val="173"/>
  </w:num>
  <w:num w:numId="31">
    <w:abstractNumId w:val="14"/>
  </w:num>
  <w:num w:numId="32">
    <w:abstractNumId w:val="156"/>
  </w:num>
  <w:num w:numId="33">
    <w:abstractNumId w:val="30"/>
  </w:num>
  <w:num w:numId="34">
    <w:abstractNumId w:val="66"/>
  </w:num>
  <w:num w:numId="35">
    <w:abstractNumId w:val="194"/>
  </w:num>
  <w:num w:numId="36">
    <w:abstractNumId w:val="195"/>
  </w:num>
  <w:num w:numId="37">
    <w:abstractNumId w:val="82"/>
  </w:num>
  <w:num w:numId="38">
    <w:abstractNumId w:val="150"/>
  </w:num>
  <w:num w:numId="39">
    <w:abstractNumId w:val="111"/>
  </w:num>
  <w:num w:numId="40">
    <w:abstractNumId w:val="24"/>
  </w:num>
  <w:num w:numId="41">
    <w:abstractNumId w:val="106"/>
  </w:num>
  <w:num w:numId="42">
    <w:abstractNumId w:val="27"/>
  </w:num>
  <w:num w:numId="43">
    <w:abstractNumId w:val="224"/>
  </w:num>
  <w:num w:numId="44">
    <w:abstractNumId w:val="147"/>
  </w:num>
  <w:num w:numId="45">
    <w:abstractNumId w:val="33"/>
  </w:num>
  <w:num w:numId="46">
    <w:abstractNumId w:val="10"/>
  </w:num>
  <w:num w:numId="47">
    <w:abstractNumId w:val="160"/>
  </w:num>
  <w:num w:numId="48">
    <w:abstractNumId w:val="245"/>
  </w:num>
  <w:num w:numId="49">
    <w:abstractNumId w:val="242"/>
  </w:num>
  <w:num w:numId="50">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51">
    <w:abstractNumId w:val="219"/>
  </w:num>
  <w:num w:numId="52">
    <w:abstractNumId w:val="140"/>
  </w:num>
  <w:num w:numId="53">
    <w:abstractNumId w:val="48"/>
  </w:num>
  <w:num w:numId="54">
    <w:abstractNumId w:val="246"/>
  </w:num>
  <w:num w:numId="55">
    <w:abstractNumId w:val="94"/>
  </w:num>
  <w:num w:numId="56">
    <w:abstractNumId w:val="5"/>
  </w:num>
  <w:num w:numId="57">
    <w:abstractNumId w:val="23"/>
  </w:num>
  <w:num w:numId="58">
    <w:abstractNumId w:val="193"/>
  </w:num>
  <w:num w:numId="59">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num>
  <w:num w:numId="62">
    <w:abstractNumId w:val="140"/>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num>
  <w:num w:numId="65">
    <w:abstractNumId w:val="127"/>
  </w:num>
  <w:num w:numId="66">
    <w:abstractNumId w:val="142"/>
  </w:num>
  <w:num w:numId="67">
    <w:abstractNumId w:val="38"/>
  </w:num>
  <w:num w:numId="68">
    <w:abstractNumId w:val="69"/>
  </w:num>
  <w:num w:numId="69">
    <w:abstractNumId w:val="68"/>
  </w:num>
  <w:num w:numId="70">
    <w:abstractNumId w:val="1"/>
  </w:num>
  <w:num w:numId="71">
    <w:abstractNumId w:val="71"/>
  </w:num>
  <w:num w:numId="72">
    <w:abstractNumId w:val="207"/>
  </w:num>
  <w:num w:numId="73">
    <w:abstractNumId w:val="56"/>
  </w:num>
  <w:num w:numId="74">
    <w:abstractNumId w:val="155"/>
  </w:num>
  <w:num w:numId="75">
    <w:abstractNumId w:val="233"/>
  </w:num>
  <w:num w:numId="76">
    <w:abstractNumId w:val="209"/>
  </w:num>
  <w:num w:numId="77">
    <w:abstractNumId w:val="91"/>
  </w:num>
  <w:num w:numId="78">
    <w:abstractNumId w:val="210"/>
  </w:num>
  <w:num w:numId="79">
    <w:abstractNumId w:val="112"/>
  </w:num>
  <w:num w:numId="80">
    <w:abstractNumId w:val="43"/>
  </w:num>
  <w:num w:numId="81">
    <w:abstractNumId w:val="214"/>
  </w:num>
  <w:num w:numId="82">
    <w:abstractNumId w:val="185"/>
  </w:num>
  <w:num w:numId="83">
    <w:abstractNumId w:val="215"/>
  </w:num>
  <w:num w:numId="84">
    <w:abstractNumId w:val="54"/>
  </w:num>
  <w:num w:numId="85">
    <w:abstractNumId w:val="149"/>
  </w:num>
  <w:num w:numId="86">
    <w:abstractNumId w:val="3"/>
  </w:num>
  <w:num w:numId="87">
    <w:abstractNumId w:val="120"/>
  </w:num>
  <w:num w:numId="88">
    <w:abstractNumId w:val="240"/>
  </w:num>
  <w:num w:numId="89">
    <w:abstractNumId w:val="80"/>
  </w:num>
  <w:num w:numId="90">
    <w:abstractNumId w:val="192"/>
  </w:num>
  <w:num w:numId="91">
    <w:abstractNumId w:val="202"/>
  </w:num>
  <w:num w:numId="92">
    <w:abstractNumId w:val="187"/>
  </w:num>
  <w:num w:numId="93">
    <w:abstractNumId w:val="7"/>
  </w:num>
  <w:num w:numId="94">
    <w:abstractNumId w:val="74"/>
  </w:num>
  <w:num w:numId="95">
    <w:abstractNumId w:val="161"/>
  </w:num>
  <w:num w:numId="96">
    <w:abstractNumId w:val="174"/>
  </w:num>
  <w:num w:numId="97">
    <w:abstractNumId w:val="128"/>
  </w:num>
  <w:num w:numId="98">
    <w:abstractNumId w:val="199"/>
  </w:num>
  <w:num w:numId="99">
    <w:abstractNumId w:val="95"/>
  </w:num>
  <w:num w:numId="100">
    <w:abstractNumId w:val="79"/>
  </w:num>
  <w:num w:numId="101">
    <w:abstractNumId w:val="13"/>
  </w:num>
  <w:num w:numId="102">
    <w:abstractNumId w:val="168"/>
  </w:num>
  <w:num w:numId="103">
    <w:abstractNumId w:val="133"/>
  </w:num>
  <w:num w:numId="104">
    <w:abstractNumId w:val="8"/>
  </w:num>
  <w:num w:numId="105">
    <w:abstractNumId w:val="244"/>
  </w:num>
  <w:num w:numId="106">
    <w:abstractNumId w:val="178"/>
  </w:num>
  <w:num w:numId="107">
    <w:abstractNumId w:val="52"/>
  </w:num>
  <w:num w:numId="108">
    <w:abstractNumId w:val="175"/>
  </w:num>
  <w:num w:numId="109">
    <w:abstractNumId w:val="103"/>
  </w:num>
  <w:num w:numId="110">
    <w:abstractNumId w:val="239"/>
  </w:num>
  <w:num w:numId="111">
    <w:abstractNumId w:val="116"/>
  </w:num>
  <w:num w:numId="112">
    <w:abstractNumId w:val="237"/>
  </w:num>
  <w:num w:numId="113">
    <w:abstractNumId w:val="88"/>
  </w:num>
  <w:num w:numId="114">
    <w:abstractNumId w:val="41"/>
  </w:num>
  <w:num w:numId="115">
    <w:abstractNumId w:val="45"/>
  </w:num>
  <w:num w:numId="116">
    <w:abstractNumId w:val="225"/>
  </w:num>
  <w:num w:numId="117">
    <w:abstractNumId w:val="186"/>
  </w:num>
  <w:num w:numId="118">
    <w:abstractNumId w:val="118"/>
  </w:num>
  <w:num w:numId="119">
    <w:abstractNumId w:val="62"/>
  </w:num>
  <w:num w:numId="120">
    <w:abstractNumId w:val="243"/>
  </w:num>
  <w:num w:numId="121">
    <w:abstractNumId w:val="146"/>
  </w:num>
  <w:num w:numId="122">
    <w:abstractNumId w:val="20"/>
  </w:num>
  <w:num w:numId="123">
    <w:abstractNumId w:val="102"/>
  </w:num>
  <w:num w:numId="124">
    <w:abstractNumId w:val="216"/>
  </w:num>
  <w:num w:numId="125">
    <w:abstractNumId w:val="65"/>
  </w:num>
  <w:num w:numId="126">
    <w:abstractNumId w:val="4"/>
  </w:num>
  <w:num w:numId="127">
    <w:abstractNumId w:val="204"/>
  </w:num>
  <w:num w:numId="128">
    <w:abstractNumId w:val="123"/>
  </w:num>
  <w:num w:numId="129">
    <w:abstractNumId w:val="89"/>
  </w:num>
  <w:num w:numId="130">
    <w:abstractNumId w:val="130"/>
  </w:num>
  <w:num w:numId="131">
    <w:abstractNumId w:val="205"/>
  </w:num>
  <w:num w:numId="132">
    <w:abstractNumId w:val="67"/>
  </w:num>
  <w:num w:numId="133">
    <w:abstractNumId w:val="101"/>
  </w:num>
  <w:num w:numId="134">
    <w:abstractNumId w:val="96"/>
  </w:num>
  <w:num w:numId="135">
    <w:abstractNumId w:val="53"/>
  </w:num>
  <w:num w:numId="136">
    <w:abstractNumId w:val="97"/>
  </w:num>
  <w:num w:numId="137">
    <w:abstractNumId w:val="228"/>
  </w:num>
  <w:num w:numId="138">
    <w:abstractNumId w:val="206"/>
  </w:num>
  <w:num w:numId="139">
    <w:abstractNumId w:val="31"/>
  </w:num>
  <w:num w:numId="140">
    <w:abstractNumId w:val="144"/>
  </w:num>
  <w:num w:numId="141">
    <w:abstractNumId w:val="138"/>
  </w:num>
  <w:num w:numId="142">
    <w:abstractNumId w:val="25"/>
  </w:num>
  <w:num w:numId="143">
    <w:abstractNumId w:val="197"/>
  </w:num>
  <w:num w:numId="144">
    <w:abstractNumId w:val="46"/>
  </w:num>
  <w:num w:numId="145">
    <w:abstractNumId w:val="141"/>
  </w:num>
  <w:num w:numId="146">
    <w:abstractNumId w:val="105"/>
  </w:num>
  <w:num w:numId="147">
    <w:abstractNumId w:val="231"/>
  </w:num>
  <w:num w:numId="148">
    <w:abstractNumId w:val="61"/>
  </w:num>
  <w:num w:numId="149">
    <w:abstractNumId w:val="139"/>
  </w:num>
  <w:num w:numId="150">
    <w:abstractNumId w:val="157"/>
  </w:num>
  <w:num w:numId="151">
    <w:abstractNumId w:val="92"/>
  </w:num>
  <w:num w:numId="152">
    <w:abstractNumId w:val="98"/>
  </w:num>
  <w:num w:numId="153">
    <w:abstractNumId w:val="170"/>
  </w:num>
  <w:num w:numId="154">
    <w:abstractNumId w:val="125"/>
  </w:num>
  <w:num w:numId="155">
    <w:abstractNumId w:val="212"/>
  </w:num>
  <w:num w:numId="156">
    <w:abstractNumId w:val="50"/>
  </w:num>
  <w:num w:numId="157">
    <w:abstractNumId w:val="114"/>
  </w:num>
  <w:num w:numId="158">
    <w:abstractNumId w:val="51"/>
  </w:num>
  <w:num w:numId="159">
    <w:abstractNumId w:val="81"/>
  </w:num>
  <w:num w:numId="160">
    <w:abstractNumId w:val="217"/>
  </w:num>
  <w:num w:numId="161">
    <w:abstractNumId w:val="63"/>
  </w:num>
  <w:num w:numId="162">
    <w:abstractNumId w:val="200"/>
  </w:num>
  <w:num w:numId="163">
    <w:abstractNumId w:val="137"/>
  </w:num>
  <w:num w:numId="164">
    <w:abstractNumId w:val="110"/>
  </w:num>
  <w:num w:numId="165">
    <w:abstractNumId w:val="183"/>
  </w:num>
  <w:num w:numId="166">
    <w:abstractNumId w:val="180"/>
  </w:num>
  <w:num w:numId="167">
    <w:abstractNumId w:val="164"/>
  </w:num>
  <w:num w:numId="168">
    <w:abstractNumId w:val="99"/>
  </w:num>
  <w:num w:numId="169">
    <w:abstractNumId w:val="16"/>
  </w:num>
  <w:num w:numId="170">
    <w:abstractNumId w:val="55"/>
  </w:num>
  <w:num w:numId="171">
    <w:abstractNumId w:val="162"/>
  </w:num>
  <w:num w:numId="172">
    <w:abstractNumId w:val="234"/>
  </w:num>
  <w:num w:numId="173">
    <w:abstractNumId w:val="36"/>
  </w:num>
  <w:num w:numId="174">
    <w:abstractNumId w:val="83"/>
  </w:num>
  <w:num w:numId="175">
    <w:abstractNumId w:val="70"/>
  </w:num>
  <w:num w:numId="176">
    <w:abstractNumId w:val="190"/>
  </w:num>
  <w:num w:numId="177">
    <w:abstractNumId w:val="15"/>
  </w:num>
  <w:num w:numId="178">
    <w:abstractNumId w:val="64"/>
  </w:num>
  <w:num w:numId="179">
    <w:abstractNumId w:val="171"/>
  </w:num>
  <w:num w:numId="180">
    <w:abstractNumId w:val="134"/>
  </w:num>
  <w:num w:numId="181">
    <w:abstractNumId w:val="39"/>
  </w:num>
  <w:num w:numId="182">
    <w:abstractNumId w:val="132"/>
  </w:num>
  <w:num w:numId="183">
    <w:abstractNumId w:val="32"/>
  </w:num>
  <w:num w:numId="184">
    <w:abstractNumId w:val="18"/>
  </w:num>
  <w:num w:numId="185">
    <w:abstractNumId w:val="176"/>
  </w:num>
  <w:num w:numId="186">
    <w:abstractNumId w:val="235"/>
  </w:num>
  <w:num w:numId="187">
    <w:abstractNumId w:val="60"/>
  </w:num>
  <w:num w:numId="188">
    <w:abstractNumId w:val="151"/>
  </w:num>
  <w:num w:numId="189">
    <w:abstractNumId w:val="78"/>
  </w:num>
  <w:num w:numId="190">
    <w:abstractNumId w:val="57"/>
  </w:num>
  <w:num w:numId="191">
    <w:abstractNumId w:val="75"/>
  </w:num>
  <w:num w:numId="192">
    <w:abstractNumId w:val="117"/>
  </w:num>
  <w:num w:numId="193">
    <w:abstractNumId w:val="184"/>
  </w:num>
  <w:num w:numId="194">
    <w:abstractNumId w:val="179"/>
  </w:num>
  <w:num w:numId="195">
    <w:abstractNumId w:val="2"/>
  </w:num>
  <w:num w:numId="196">
    <w:abstractNumId w:val="131"/>
  </w:num>
  <w:num w:numId="197">
    <w:abstractNumId w:val="76"/>
  </w:num>
  <w:num w:numId="198">
    <w:abstractNumId w:val="181"/>
  </w:num>
  <w:num w:numId="199">
    <w:abstractNumId w:val="143"/>
  </w:num>
  <w:num w:numId="200">
    <w:abstractNumId w:val="166"/>
  </w:num>
  <w:num w:numId="201">
    <w:abstractNumId w:val="221"/>
  </w:num>
  <w:num w:numId="202">
    <w:abstractNumId w:val="188"/>
  </w:num>
  <w:num w:numId="203">
    <w:abstractNumId w:val="109"/>
  </w:num>
  <w:num w:numId="204">
    <w:abstractNumId w:val="73"/>
  </w:num>
  <w:num w:numId="205">
    <w:abstractNumId w:val="241"/>
  </w:num>
  <w:num w:numId="206">
    <w:abstractNumId w:val="9"/>
  </w:num>
  <w:num w:numId="207">
    <w:abstractNumId w:val="86"/>
  </w:num>
  <w:num w:numId="208">
    <w:abstractNumId w:val="177"/>
  </w:num>
  <w:num w:numId="209">
    <w:abstractNumId w:val="222"/>
  </w:num>
  <w:num w:numId="210">
    <w:abstractNumId w:val="136"/>
  </w:num>
  <w:num w:numId="211">
    <w:abstractNumId w:val="163"/>
  </w:num>
  <w:num w:numId="212">
    <w:abstractNumId w:val="17"/>
  </w:num>
  <w:num w:numId="213">
    <w:abstractNumId w:val="247"/>
  </w:num>
  <w:num w:numId="214">
    <w:abstractNumId w:val="84"/>
  </w:num>
  <w:num w:numId="215">
    <w:abstractNumId w:val="135"/>
  </w:num>
  <w:num w:numId="216">
    <w:abstractNumId w:val="211"/>
  </w:num>
  <w:num w:numId="217">
    <w:abstractNumId w:val="107"/>
  </w:num>
  <w:num w:numId="218">
    <w:abstractNumId w:val="159"/>
  </w:num>
  <w:num w:numId="219">
    <w:abstractNumId w:val="182"/>
  </w:num>
  <w:num w:numId="220">
    <w:abstractNumId w:val="58"/>
  </w:num>
  <w:num w:numId="221">
    <w:abstractNumId w:val="119"/>
  </w:num>
  <w:num w:numId="222">
    <w:abstractNumId w:val="59"/>
  </w:num>
  <w:num w:numId="223">
    <w:abstractNumId w:val="220"/>
  </w:num>
  <w:num w:numId="224">
    <w:abstractNumId w:val="87"/>
  </w:num>
  <w:num w:numId="225">
    <w:abstractNumId w:val="113"/>
  </w:num>
  <w:num w:numId="226">
    <w:abstractNumId w:val="121"/>
  </w:num>
  <w:num w:numId="227">
    <w:abstractNumId w:val="148"/>
  </w:num>
  <w:num w:numId="228">
    <w:abstractNumId w:val="145"/>
  </w:num>
  <w:num w:numId="229">
    <w:abstractNumId w:val="40"/>
  </w:num>
  <w:num w:numId="230">
    <w:abstractNumId w:val="104"/>
  </w:num>
  <w:num w:numId="231">
    <w:abstractNumId w:val="37"/>
  </w:num>
  <w:num w:numId="232">
    <w:abstractNumId w:val="124"/>
  </w:num>
  <w:num w:numId="233">
    <w:abstractNumId w:val="47"/>
  </w:num>
  <w:num w:numId="234">
    <w:abstractNumId w:val="201"/>
  </w:num>
  <w:num w:numId="235">
    <w:abstractNumId w:val="29"/>
  </w:num>
  <w:num w:numId="236">
    <w:abstractNumId w:val="238"/>
  </w:num>
  <w:num w:numId="237">
    <w:abstractNumId w:val="153"/>
  </w:num>
  <w:num w:numId="238">
    <w:abstractNumId w:val="85"/>
  </w:num>
  <w:num w:numId="23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03"/>
  </w:num>
  <w:num w:numId="241">
    <w:abstractNumId w:val="167"/>
  </w:num>
  <w:num w:numId="242">
    <w:abstractNumId w:val="35"/>
  </w:num>
  <w:num w:numId="243">
    <w:abstractNumId w:val="90"/>
  </w:num>
  <w:num w:numId="244">
    <w:abstractNumId w:val="26"/>
  </w:num>
  <w:num w:numId="245">
    <w:abstractNumId w:val="158"/>
  </w:num>
  <w:num w:numId="246">
    <w:abstractNumId w:val="115"/>
  </w:num>
  <w:num w:numId="247">
    <w:abstractNumId w:val="154"/>
  </w:num>
  <w:num w:numId="248">
    <w:abstractNumId w:val="189"/>
  </w:num>
  <w:num w:numId="249">
    <w:abstractNumId w:val="6"/>
  </w:num>
  <w:num w:numId="250">
    <w:abstractNumId w:val="11"/>
  </w:num>
  <w:num w:numId="251">
    <w:abstractNumId w:val="129"/>
  </w:num>
  <w:num w:numId="252">
    <w:abstractNumId w:val="34"/>
  </w:num>
  <w:num w:numId="253">
    <w:abstractNumId w:val="227"/>
  </w:num>
  <w:num w:numId="254">
    <w:abstractNumId w:val="12"/>
  </w:num>
  <w:num w:numId="255">
    <w:abstractNumId w:val="169"/>
  </w:num>
  <w:num w:numId="256">
    <w:abstractNumId w:val="232"/>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3698"/>
    <w:rsid w:val="00005408"/>
    <w:rsid w:val="000101D3"/>
    <w:rsid w:val="00010CB9"/>
    <w:rsid w:val="0001234A"/>
    <w:rsid w:val="00012E3F"/>
    <w:rsid w:val="00013FD3"/>
    <w:rsid w:val="00020C79"/>
    <w:rsid w:val="000215FB"/>
    <w:rsid w:val="00022CA2"/>
    <w:rsid w:val="000236F1"/>
    <w:rsid w:val="00024734"/>
    <w:rsid w:val="00026D65"/>
    <w:rsid w:val="000356BB"/>
    <w:rsid w:val="00036DD5"/>
    <w:rsid w:val="0004462A"/>
    <w:rsid w:val="00052ED1"/>
    <w:rsid w:val="0005386D"/>
    <w:rsid w:val="00057F9D"/>
    <w:rsid w:val="00062D49"/>
    <w:rsid w:val="00075451"/>
    <w:rsid w:val="00076170"/>
    <w:rsid w:val="000812B1"/>
    <w:rsid w:val="000909E1"/>
    <w:rsid w:val="000B5374"/>
    <w:rsid w:val="000B5FCF"/>
    <w:rsid w:val="000C4E7F"/>
    <w:rsid w:val="000D5693"/>
    <w:rsid w:val="000E7739"/>
    <w:rsid w:val="000F4187"/>
    <w:rsid w:val="000F50F0"/>
    <w:rsid w:val="000F6ADB"/>
    <w:rsid w:val="00100C55"/>
    <w:rsid w:val="00102664"/>
    <w:rsid w:val="00110933"/>
    <w:rsid w:val="00113777"/>
    <w:rsid w:val="00121A66"/>
    <w:rsid w:val="00122EC4"/>
    <w:rsid w:val="0012708D"/>
    <w:rsid w:val="001274A4"/>
    <w:rsid w:val="00127BC0"/>
    <w:rsid w:val="00145258"/>
    <w:rsid w:val="00155F9F"/>
    <w:rsid w:val="00161A42"/>
    <w:rsid w:val="00162167"/>
    <w:rsid w:val="001634EB"/>
    <w:rsid w:val="00170F78"/>
    <w:rsid w:val="001741D0"/>
    <w:rsid w:val="00175C84"/>
    <w:rsid w:val="00176426"/>
    <w:rsid w:val="001844D1"/>
    <w:rsid w:val="00185B83"/>
    <w:rsid w:val="001936FD"/>
    <w:rsid w:val="001956F6"/>
    <w:rsid w:val="001A746F"/>
    <w:rsid w:val="001B1EED"/>
    <w:rsid w:val="001B6DB4"/>
    <w:rsid w:val="001C6062"/>
    <w:rsid w:val="001C6BAF"/>
    <w:rsid w:val="001D27A1"/>
    <w:rsid w:val="001D3C17"/>
    <w:rsid w:val="001D3EB4"/>
    <w:rsid w:val="001E10A2"/>
    <w:rsid w:val="001E2643"/>
    <w:rsid w:val="001E3834"/>
    <w:rsid w:val="001E4F62"/>
    <w:rsid w:val="001F42E2"/>
    <w:rsid w:val="001F7572"/>
    <w:rsid w:val="00206822"/>
    <w:rsid w:val="00206BC8"/>
    <w:rsid w:val="002125A9"/>
    <w:rsid w:val="00215B71"/>
    <w:rsid w:val="00220900"/>
    <w:rsid w:val="00225143"/>
    <w:rsid w:val="002563B0"/>
    <w:rsid w:val="00265A34"/>
    <w:rsid w:val="00265F30"/>
    <w:rsid w:val="0027472B"/>
    <w:rsid w:val="002762ED"/>
    <w:rsid w:val="00276597"/>
    <w:rsid w:val="00281641"/>
    <w:rsid w:val="00284E1B"/>
    <w:rsid w:val="002916D3"/>
    <w:rsid w:val="00292898"/>
    <w:rsid w:val="002943AD"/>
    <w:rsid w:val="002A0E80"/>
    <w:rsid w:val="002A2B60"/>
    <w:rsid w:val="002A30E8"/>
    <w:rsid w:val="002B1ACB"/>
    <w:rsid w:val="002C16A9"/>
    <w:rsid w:val="002D6766"/>
    <w:rsid w:val="002E2FAF"/>
    <w:rsid w:val="002E597C"/>
    <w:rsid w:val="002F13BE"/>
    <w:rsid w:val="002F6723"/>
    <w:rsid w:val="0030498C"/>
    <w:rsid w:val="0030632C"/>
    <w:rsid w:val="003063F3"/>
    <w:rsid w:val="00307C1C"/>
    <w:rsid w:val="00311998"/>
    <w:rsid w:val="00311F9E"/>
    <w:rsid w:val="0031657E"/>
    <w:rsid w:val="00317E46"/>
    <w:rsid w:val="00324DA8"/>
    <w:rsid w:val="00325D8C"/>
    <w:rsid w:val="0032630A"/>
    <w:rsid w:val="0034042E"/>
    <w:rsid w:val="00350FC2"/>
    <w:rsid w:val="00354498"/>
    <w:rsid w:val="00364D9E"/>
    <w:rsid w:val="0036533C"/>
    <w:rsid w:val="00374260"/>
    <w:rsid w:val="00380B30"/>
    <w:rsid w:val="00382258"/>
    <w:rsid w:val="00393791"/>
    <w:rsid w:val="003A0007"/>
    <w:rsid w:val="003B277E"/>
    <w:rsid w:val="003B5F9B"/>
    <w:rsid w:val="003B6B65"/>
    <w:rsid w:val="003D62A4"/>
    <w:rsid w:val="003D657F"/>
    <w:rsid w:val="00400466"/>
    <w:rsid w:val="004004A6"/>
    <w:rsid w:val="0040121A"/>
    <w:rsid w:val="004040FC"/>
    <w:rsid w:val="004075F1"/>
    <w:rsid w:val="00414E16"/>
    <w:rsid w:val="00416BE4"/>
    <w:rsid w:val="004211DD"/>
    <w:rsid w:val="00425857"/>
    <w:rsid w:val="0043095D"/>
    <w:rsid w:val="004320BC"/>
    <w:rsid w:val="00432F53"/>
    <w:rsid w:val="00437A2E"/>
    <w:rsid w:val="00440F45"/>
    <w:rsid w:val="0044677E"/>
    <w:rsid w:val="00446BD7"/>
    <w:rsid w:val="00453929"/>
    <w:rsid w:val="00464EC7"/>
    <w:rsid w:val="004675BE"/>
    <w:rsid w:val="00470D49"/>
    <w:rsid w:val="00480491"/>
    <w:rsid w:val="00486645"/>
    <w:rsid w:val="00492C88"/>
    <w:rsid w:val="004930C0"/>
    <w:rsid w:val="004A2BF9"/>
    <w:rsid w:val="004A3907"/>
    <w:rsid w:val="004B2368"/>
    <w:rsid w:val="004C04EC"/>
    <w:rsid w:val="004C36D6"/>
    <w:rsid w:val="004C585E"/>
    <w:rsid w:val="004D0635"/>
    <w:rsid w:val="004D3480"/>
    <w:rsid w:val="004E0656"/>
    <w:rsid w:val="004E66AD"/>
    <w:rsid w:val="004F2970"/>
    <w:rsid w:val="004F3137"/>
    <w:rsid w:val="005014C3"/>
    <w:rsid w:val="00514174"/>
    <w:rsid w:val="00516EC0"/>
    <w:rsid w:val="00517EC5"/>
    <w:rsid w:val="00526CA0"/>
    <w:rsid w:val="00530940"/>
    <w:rsid w:val="00532FD1"/>
    <w:rsid w:val="005349FF"/>
    <w:rsid w:val="00542715"/>
    <w:rsid w:val="00552320"/>
    <w:rsid w:val="0056086F"/>
    <w:rsid w:val="00582A8E"/>
    <w:rsid w:val="00583B9B"/>
    <w:rsid w:val="00587D2B"/>
    <w:rsid w:val="0059452B"/>
    <w:rsid w:val="00597CC0"/>
    <w:rsid w:val="005A1905"/>
    <w:rsid w:val="005A368D"/>
    <w:rsid w:val="005A5E83"/>
    <w:rsid w:val="005C4EC5"/>
    <w:rsid w:val="005E163E"/>
    <w:rsid w:val="005E3D77"/>
    <w:rsid w:val="00601E28"/>
    <w:rsid w:val="006051C6"/>
    <w:rsid w:val="00610FA3"/>
    <w:rsid w:val="00614E92"/>
    <w:rsid w:val="00624FFF"/>
    <w:rsid w:val="00627A77"/>
    <w:rsid w:val="00632FC4"/>
    <w:rsid w:val="00635E32"/>
    <w:rsid w:val="00640086"/>
    <w:rsid w:val="006515CC"/>
    <w:rsid w:val="00653F6B"/>
    <w:rsid w:val="00654CC6"/>
    <w:rsid w:val="00654F68"/>
    <w:rsid w:val="00656286"/>
    <w:rsid w:val="0066136E"/>
    <w:rsid w:val="00663B90"/>
    <w:rsid w:val="006672EA"/>
    <w:rsid w:val="0067135A"/>
    <w:rsid w:val="0067267C"/>
    <w:rsid w:val="00692524"/>
    <w:rsid w:val="006935C4"/>
    <w:rsid w:val="006A2B4F"/>
    <w:rsid w:val="006B465F"/>
    <w:rsid w:val="006B4CC0"/>
    <w:rsid w:val="006C6E55"/>
    <w:rsid w:val="006D10DC"/>
    <w:rsid w:val="006D12EA"/>
    <w:rsid w:val="006D61F8"/>
    <w:rsid w:val="006E1AFE"/>
    <w:rsid w:val="006E35BF"/>
    <w:rsid w:val="006E4132"/>
    <w:rsid w:val="006F0D17"/>
    <w:rsid w:val="006F6EFF"/>
    <w:rsid w:val="007035EB"/>
    <w:rsid w:val="00706228"/>
    <w:rsid w:val="007114CE"/>
    <w:rsid w:val="007115FC"/>
    <w:rsid w:val="00741C42"/>
    <w:rsid w:val="007433AD"/>
    <w:rsid w:val="0074448A"/>
    <w:rsid w:val="0074595E"/>
    <w:rsid w:val="00745EDF"/>
    <w:rsid w:val="0075228B"/>
    <w:rsid w:val="007572B7"/>
    <w:rsid w:val="00766479"/>
    <w:rsid w:val="00794AAD"/>
    <w:rsid w:val="007A586A"/>
    <w:rsid w:val="007B040C"/>
    <w:rsid w:val="007B5AF8"/>
    <w:rsid w:val="007B79A6"/>
    <w:rsid w:val="007C03BD"/>
    <w:rsid w:val="007C0A31"/>
    <w:rsid w:val="007C0F72"/>
    <w:rsid w:val="007C4178"/>
    <w:rsid w:val="007D4F43"/>
    <w:rsid w:val="007E78D1"/>
    <w:rsid w:val="007F3B71"/>
    <w:rsid w:val="007F7C4E"/>
    <w:rsid w:val="0080178F"/>
    <w:rsid w:val="00813A31"/>
    <w:rsid w:val="00813E2E"/>
    <w:rsid w:val="0081711B"/>
    <w:rsid w:val="008201E2"/>
    <w:rsid w:val="00821A49"/>
    <w:rsid w:val="00823A50"/>
    <w:rsid w:val="00827137"/>
    <w:rsid w:val="008361FA"/>
    <w:rsid w:val="00841950"/>
    <w:rsid w:val="00845720"/>
    <w:rsid w:val="00853607"/>
    <w:rsid w:val="00857A26"/>
    <w:rsid w:val="00861853"/>
    <w:rsid w:val="00870E11"/>
    <w:rsid w:val="008733E2"/>
    <w:rsid w:val="00883664"/>
    <w:rsid w:val="008931EB"/>
    <w:rsid w:val="008943B2"/>
    <w:rsid w:val="008A50C6"/>
    <w:rsid w:val="008A58F9"/>
    <w:rsid w:val="008A7D0C"/>
    <w:rsid w:val="008A7FAB"/>
    <w:rsid w:val="008B126E"/>
    <w:rsid w:val="008B7544"/>
    <w:rsid w:val="008C0A8E"/>
    <w:rsid w:val="008C50D4"/>
    <w:rsid w:val="008C50F8"/>
    <w:rsid w:val="008C7AD6"/>
    <w:rsid w:val="008D58A8"/>
    <w:rsid w:val="008D5EB2"/>
    <w:rsid w:val="008D65CD"/>
    <w:rsid w:val="008E4B31"/>
    <w:rsid w:val="008F25D0"/>
    <w:rsid w:val="008F464F"/>
    <w:rsid w:val="0090260D"/>
    <w:rsid w:val="00903FD2"/>
    <w:rsid w:val="00905069"/>
    <w:rsid w:val="00911FD7"/>
    <w:rsid w:val="00913229"/>
    <w:rsid w:val="00921681"/>
    <w:rsid w:val="00921CA8"/>
    <w:rsid w:val="00924160"/>
    <w:rsid w:val="009306EF"/>
    <w:rsid w:val="009348EE"/>
    <w:rsid w:val="00937118"/>
    <w:rsid w:val="00941BC8"/>
    <w:rsid w:val="009451A1"/>
    <w:rsid w:val="00946032"/>
    <w:rsid w:val="009508A1"/>
    <w:rsid w:val="00951995"/>
    <w:rsid w:val="00953578"/>
    <w:rsid w:val="00955543"/>
    <w:rsid w:val="009608D2"/>
    <w:rsid w:val="00962E4F"/>
    <w:rsid w:val="00971DFC"/>
    <w:rsid w:val="00973CC3"/>
    <w:rsid w:val="00973E11"/>
    <w:rsid w:val="00976D36"/>
    <w:rsid w:val="00977597"/>
    <w:rsid w:val="00980967"/>
    <w:rsid w:val="00983D2D"/>
    <w:rsid w:val="00984B5E"/>
    <w:rsid w:val="00985A99"/>
    <w:rsid w:val="009873C6"/>
    <w:rsid w:val="00992FC2"/>
    <w:rsid w:val="009974BA"/>
    <w:rsid w:val="009A02EC"/>
    <w:rsid w:val="009A5A45"/>
    <w:rsid w:val="009A721D"/>
    <w:rsid w:val="009B2291"/>
    <w:rsid w:val="009B2660"/>
    <w:rsid w:val="009B5CDC"/>
    <w:rsid w:val="009D46A9"/>
    <w:rsid w:val="009E09E6"/>
    <w:rsid w:val="009E6080"/>
    <w:rsid w:val="009E6EF3"/>
    <w:rsid w:val="009E768C"/>
    <w:rsid w:val="009F13FB"/>
    <w:rsid w:val="00A004B3"/>
    <w:rsid w:val="00A0353A"/>
    <w:rsid w:val="00A04FCB"/>
    <w:rsid w:val="00A06938"/>
    <w:rsid w:val="00A12B12"/>
    <w:rsid w:val="00A445C4"/>
    <w:rsid w:val="00A55904"/>
    <w:rsid w:val="00A577E9"/>
    <w:rsid w:val="00A57A17"/>
    <w:rsid w:val="00A608BF"/>
    <w:rsid w:val="00A61D51"/>
    <w:rsid w:val="00A672F0"/>
    <w:rsid w:val="00A755B8"/>
    <w:rsid w:val="00A82339"/>
    <w:rsid w:val="00A856CD"/>
    <w:rsid w:val="00A9065B"/>
    <w:rsid w:val="00AA33E8"/>
    <w:rsid w:val="00AA597D"/>
    <w:rsid w:val="00AB28FA"/>
    <w:rsid w:val="00AB41A3"/>
    <w:rsid w:val="00AB64F8"/>
    <w:rsid w:val="00AC0628"/>
    <w:rsid w:val="00AC077A"/>
    <w:rsid w:val="00AC145B"/>
    <w:rsid w:val="00AC26D1"/>
    <w:rsid w:val="00AC37D8"/>
    <w:rsid w:val="00AC5F96"/>
    <w:rsid w:val="00AC7BDD"/>
    <w:rsid w:val="00AD1825"/>
    <w:rsid w:val="00AD35A1"/>
    <w:rsid w:val="00AE0CE0"/>
    <w:rsid w:val="00AE2A9A"/>
    <w:rsid w:val="00AE3AEF"/>
    <w:rsid w:val="00AE3F34"/>
    <w:rsid w:val="00AF4837"/>
    <w:rsid w:val="00B02CB3"/>
    <w:rsid w:val="00B035B9"/>
    <w:rsid w:val="00B11500"/>
    <w:rsid w:val="00B121BF"/>
    <w:rsid w:val="00B159D3"/>
    <w:rsid w:val="00B22F09"/>
    <w:rsid w:val="00B47642"/>
    <w:rsid w:val="00B5152E"/>
    <w:rsid w:val="00B54622"/>
    <w:rsid w:val="00B551BB"/>
    <w:rsid w:val="00B614FF"/>
    <w:rsid w:val="00B6268E"/>
    <w:rsid w:val="00B62A6A"/>
    <w:rsid w:val="00B661E3"/>
    <w:rsid w:val="00B71A10"/>
    <w:rsid w:val="00B73B77"/>
    <w:rsid w:val="00B74162"/>
    <w:rsid w:val="00B800E3"/>
    <w:rsid w:val="00B80CCE"/>
    <w:rsid w:val="00B83E3D"/>
    <w:rsid w:val="00B85178"/>
    <w:rsid w:val="00B87EDA"/>
    <w:rsid w:val="00BA3171"/>
    <w:rsid w:val="00BC1E9F"/>
    <w:rsid w:val="00BC20DC"/>
    <w:rsid w:val="00BC4FA3"/>
    <w:rsid w:val="00BC6D77"/>
    <w:rsid w:val="00BD6F0A"/>
    <w:rsid w:val="00BE1908"/>
    <w:rsid w:val="00BF037F"/>
    <w:rsid w:val="00BF0B61"/>
    <w:rsid w:val="00BF1447"/>
    <w:rsid w:val="00BF400D"/>
    <w:rsid w:val="00BF6F4F"/>
    <w:rsid w:val="00C079B1"/>
    <w:rsid w:val="00C07D76"/>
    <w:rsid w:val="00C224FF"/>
    <w:rsid w:val="00C24683"/>
    <w:rsid w:val="00C30604"/>
    <w:rsid w:val="00C3094E"/>
    <w:rsid w:val="00C31C9F"/>
    <w:rsid w:val="00C3799A"/>
    <w:rsid w:val="00C505BD"/>
    <w:rsid w:val="00C52383"/>
    <w:rsid w:val="00C52757"/>
    <w:rsid w:val="00C5665B"/>
    <w:rsid w:val="00C56E74"/>
    <w:rsid w:val="00C578D1"/>
    <w:rsid w:val="00C63E1A"/>
    <w:rsid w:val="00C655A2"/>
    <w:rsid w:val="00C6594E"/>
    <w:rsid w:val="00C8097A"/>
    <w:rsid w:val="00C8426E"/>
    <w:rsid w:val="00C950FC"/>
    <w:rsid w:val="00CA3F05"/>
    <w:rsid w:val="00CA4D54"/>
    <w:rsid w:val="00CA563C"/>
    <w:rsid w:val="00CA7A0F"/>
    <w:rsid w:val="00CB24EA"/>
    <w:rsid w:val="00CC70A5"/>
    <w:rsid w:val="00CD0AEE"/>
    <w:rsid w:val="00CD6E94"/>
    <w:rsid w:val="00CE3FE8"/>
    <w:rsid w:val="00CE5C55"/>
    <w:rsid w:val="00CF0F5C"/>
    <w:rsid w:val="00CF35F7"/>
    <w:rsid w:val="00CF3EC4"/>
    <w:rsid w:val="00CF4D1F"/>
    <w:rsid w:val="00D15816"/>
    <w:rsid w:val="00D21D0D"/>
    <w:rsid w:val="00D229E0"/>
    <w:rsid w:val="00D23542"/>
    <w:rsid w:val="00D33843"/>
    <w:rsid w:val="00D34FC7"/>
    <w:rsid w:val="00D40474"/>
    <w:rsid w:val="00D407FE"/>
    <w:rsid w:val="00D43B05"/>
    <w:rsid w:val="00D5618C"/>
    <w:rsid w:val="00D60BE0"/>
    <w:rsid w:val="00D60F62"/>
    <w:rsid w:val="00D6324D"/>
    <w:rsid w:val="00D65C56"/>
    <w:rsid w:val="00D662F1"/>
    <w:rsid w:val="00D6755C"/>
    <w:rsid w:val="00D72545"/>
    <w:rsid w:val="00D7363B"/>
    <w:rsid w:val="00D73EBF"/>
    <w:rsid w:val="00D76C1E"/>
    <w:rsid w:val="00D7781C"/>
    <w:rsid w:val="00D81D5C"/>
    <w:rsid w:val="00D82366"/>
    <w:rsid w:val="00D87A12"/>
    <w:rsid w:val="00D90142"/>
    <w:rsid w:val="00D90E0E"/>
    <w:rsid w:val="00D9284A"/>
    <w:rsid w:val="00D95377"/>
    <w:rsid w:val="00DA32EF"/>
    <w:rsid w:val="00DA4336"/>
    <w:rsid w:val="00DA7817"/>
    <w:rsid w:val="00DB183D"/>
    <w:rsid w:val="00DB382F"/>
    <w:rsid w:val="00DB4F3A"/>
    <w:rsid w:val="00DC0E50"/>
    <w:rsid w:val="00DC2B73"/>
    <w:rsid w:val="00DC3533"/>
    <w:rsid w:val="00DC5939"/>
    <w:rsid w:val="00DC608B"/>
    <w:rsid w:val="00DC6DC2"/>
    <w:rsid w:val="00DC7ECE"/>
    <w:rsid w:val="00DD639E"/>
    <w:rsid w:val="00DE2C5F"/>
    <w:rsid w:val="00DE42AA"/>
    <w:rsid w:val="00DE4CBB"/>
    <w:rsid w:val="00DE6959"/>
    <w:rsid w:val="00DE6E96"/>
    <w:rsid w:val="00DE7F31"/>
    <w:rsid w:val="00E14BC1"/>
    <w:rsid w:val="00E26486"/>
    <w:rsid w:val="00E307D6"/>
    <w:rsid w:val="00E31AD1"/>
    <w:rsid w:val="00E339A9"/>
    <w:rsid w:val="00E37FD4"/>
    <w:rsid w:val="00E4204F"/>
    <w:rsid w:val="00E479F6"/>
    <w:rsid w:val="00E47F5D"/>
    <w:rsid w:val="00E53F39"/>
    <w:rsid w:val="00E64B8D"/>
    <w:rsid w:val="00E7765D"/>
    <w:rsid w:val="00E8258C"/>
    <w:rsid w:val="00E82F64"/>
    <w:rsid w:val="00E84C45"/>
    <w:rsid w:val="00E85040"/>
    <w:rsid w:val="00E868F7"/>
    <w:rsid w:val="00E9158C"/>
    <w:rsid w:val="00E97FC9"/>
    <w:rsid w:val="00EA0635"/>
    <w:rsid w:val="00EA494C"/>
    <w:rsid w:val="00EC15A9"/>
    <w:rsid w:val="00ED1722"/>
    <w:rsid w:val="00ED6049"/>
    <w:rsid w:val="00EE077F"/>
    <w:rsid w:val="00EF114E"/>
    <w:rsid w:val="00EF7077"/>
    <w:rsid w:val="00F01C1B"/>
    <w:rsid w:val="00F05178"/>
    <w:rsid w:val="00F065E8"/>
    <w:rsid w:val="00F10F7E"/>
    <w:rsid w:val="00F110E7"/>
    <w:rsid w:val="00F21F4F"/>
    <w:rsid w:val="00F43C32"/>
    <w:rsid w:val="00F55A9D"/>
    <w:rsid w:val="00F61772"/>
    <w:rsid w:val="00F625DF"/>
    <w:rsid w:val="00F65D84"/>
    <w:rsid w:val="00F746FC"/>
    <w:rsid w:val="00F8364F"/>
    <w:rsid w:val="00FA1E39"/>
    <w:rsid w:val="00FA2772"/>
    <w:rsid w:val="00FB6705"/>
    <w:rsid w:val="00FC490B"/>
    <w:rsid w:val="00FC4D7A"/>
    <w:rsid w:val="00FC7D3E"/>
    <w:rsid w:val="00FD603B"/>
    <w:rsid w:val="00FE30D9"/>
    <w:rsid w:val="00FE7825"/>
    <w:rsid w:val="00FF1A35"/>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11"/>
      </w:numPr>
    </w:pPr>
  </w:style>
  <w:style w:type="table" w:styleId="TableGrid">
    <w:name w:val="Table Grid"/>
    <w:basedOn w:val="TableNormal"/>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46"/>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7"/>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4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55"/>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5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53"/>
      </w:numPr>
    </w:pPr>
  </w:style>
  <w:style w:type="numbering" w:customStyle="1" w:styleId="StyleBulletedSymbolsymbolLeft025Hanging0251">
    <w:name w:val="Style Bulleted Symbol (symbol) Left:  0.25&quot; Hanging:  0.25&quot;1"/>
    <w:basedOn w:val="NoList"/>
    <w:rsid w:val="0074595E"/>
    <w:pPr>
      <w:numPr>
        <w:numId w:val="54"/>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 w:id="2121993249">
      <w:bodyDiv w:val="1"/>
      <w:marLeft w:val="0"/>
      <w:marRight w:val="0"/>
      <w:marTop w:val="0"/>
      <w:marBottom w:val="0"/>
      <w:divBdr>
        <w:top w:val="none" w:sz="0" w:space="0" w:color="auto"/>
        <w:left w:val="none" w:sz="0" w:space="0" w:color="auto"/>
        <w:bottom w:val="none" w:sz="0" w:space="0" w:color="auto"/>
        <w:right w:val="none" w:sz="0" w:space="0" w:color="auto"/>
      </w:divBdr>
      <w:divsChild>
        <w:div w:id="3164963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0B65A-2296-4F95-9E30-5FF5A25A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3</TotalTime>
  <Pages>7</Pages>
  <Words>2393</Words>
  <Characters>13642</Characters>
  <Application>Microsoft Office Word</Application>
  <DocSecurity>0</DocSecurity>
  <Lines>113</Lines>
  <Paragraphs>32</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contribution skeleton</vt:lpstr>
      <vt:lpstr>3GPP contribution skeleton</vt:lpstr>
      <vt:lpstr>Introduction</vt:lpstr>
      <vt:lpstr>Discussion</vt:lpstr>
      <vt:lpstr>Conclusions</vt:lpstr>
      <vt:lpstr>References</vt:lpstr>
      <vt:lpstr>Appendix</vt:lpstr>
    </vt:vector>
  </TitlesOfParts>
  <Company>PRDCG</Company>
  <LinksUpToDate>false</LinksUpToDate>
  <CharactersWithSpaces>16003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3</cp:revision>
  <dcterms:created xsi:type="dcterms:W3CDTF">2019-05-03T10:25:00Z</dcterms:created>
  <dcterms:modified xsi:type="dcterms:W3CDTF">2019-05-03T10:28:00Z</dcterms:modified>
  <cp:category/>
</cp:coreProperties>
</file>